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E971D">
      <w:pPr>
        <w:adjustRightInd w:val="0"/>
        <w:snapToGrid w:val="0"/>
        <w:spacing w:line="560" w:lineRule="exact"/>
        <w:jc w:val="center"/>
        <w:rPr>
          <w:rFonts w:ascii="宋体" w:hAnsi="宋体" w:cs="仿宋"/>
          <w:spacing w:val="28"/>
          <w:sz w:val="44"/>
          <w:szCs w:val="44"/>
        </w:rPr>
      </w:pPr>
    </w:p>
    <w:p w14:paraId="7A9804FB">
      <w:pPr>
        <w:jc w:val="center"/>
        <w:rPr>
          <w:rFonts w:ascii="宋体" w:hAnsi="宋体" w:cs="宋体"/>
          <w:b/>
          <w:bCs/>
          <w:sz w:val="44"/>
          <w:szCs w:val="48"/>
        </w:rPr>
      </w:pPr>
      <w:r>
        <w:rPr>
          <w:rFonts w:hint="eastAsia" w:ascii="宋体" w:hAnsi="宋体" w:cs="宋体"/>
          <w:b/>
          <w:bCs/>
          <w:sz w:val="44"/>
          <w:szCs w:val="48"/>
        </w:rPr>
        <w:t>扬州大学附属医院</w:t>
      </w:r>
      <w:r>
        <w:rPr>
          <w:rFonts w:hint="eastAsia" w:ascii="宋体" w:hAnsi="宋体" w:cs="宋体"/>
          <w:b/>
          <w:bCs/>
          <w:sz w:val="44"/>
          <w:szCs w:val="48"/>
          <w:lang w:val="en-US" w:eastAsia="zh-CN"/>
        </w:rPr>
        <w:t>财务发票查验系统</w:t>
      </w:r>
      <w:r>
        <w:rPr>
          <w:rFonts w:hint="eastAsia" w:ascii="宋体" w:hAnsi="宋体" w:cs="宋体"/>
          <w:b/>
          <w:bCs/>
          <w:sz w:val="44"/>
          <w:szCs w:val="48"/>
        </w:rPr>
        <w:t>项目</w:t>
      </w:r>
    </w:p>
    <w:p w14:paraId="3503FC08">
      <w:pPr>
        <w:jc w:val="center"/>
        <w:rPr>
          <w:rFonts w:ascii="宋体" w:hAnsi="宋体" w:cs="宋体"/>
          <w:b/>
          <w:bCs/>
          <w:sz w:val="44"/>
          <w:szCs w:val="48"/>
        </w:rPr>
      </w:pPr>
      <w:r>
        <w:rPr>
          <w:rFonts w:hint="eastAsia" w:ascii="宋体" w:hAnsi="宋体" w:cs="宋体"/>
          <w:b/>
          <w:bCs/>
          <w:sz w:val="44"/>
          <w:szCs w:val="48"/>
        </w:rPr>
        <w:t>院内公开谈判文件</w:t>
      </w:r>
    </w:p>
    <w:p w14:paraId="74E899A4">
      <w:pPr>
        <w:adjustRightInd w:val="0"/>
        <w:snapToGrid w:val="0"/>
        <w:spacing w:line="560" w:lineRule="exact"/>
        <w:jc w:val="center"/>
        <w:rPr>
          <w:rFonts w:ascii="宋体" w:hAnsi="宋体" w:cs="仿宋"/>
          <w:spacing w:val="28"/>
          <w:sz w:val="44"/>
          <w:szCs w:val="44"/>
        </w:rPr>
      </w:pPr>
    </w:p>
    <w:p w14:paraId="1A5B2782">
      <w:pPr>
        <w:adjustRightInd w:val="0"/>
        <w:snapToGrid w:val="0"/>
        <w:spacing w:line="360" w:lineRule="auto"/>
        <w:jc w:val="center"/>
        <w:rPr>
          <w:rFonts w:eastAsia="黑体"/>
          <w:b/>
          <w:snapToGrid w:val="0"/>
          <w:sz w:val="72"/>
        </w:rPr>
      </w:pPr>
      <w:r>
        <w:drawing>
          <wp:inline distT="0" distB="0" distL="0" distR="0">
            <wp:extent cx="5480685" cy="4157345"/>
            <wp:effectExtent l="0" t="0" r="5715" b="14605"/>
            <wp:docPr id="1026" name="图片 1" descr="9808345747129441"/>
            <wp:cNvGraphicFramePr/>
            <a:graphic xmlns:a="http://schemas.openxmlformats.org/drawingml/2006/main">
              <a:graphicData uri="http://schemas.openxmlformats.org/drawingml/2006/picture">
                <pic:pic xmlns:pic="http://schemas.openxmlformats.org/drawingml/2006/picture">
                  <pic:nvPicPr>
                    <pic:cNvPr id="1026" name="图片 1" descr="9808345747129441"/>
                    <pic:cNvPicPr/>
                  </pic:nvPicPr>
                  <pic:blipFill>
                    <a:blip r:embed="rId9" cstate="print"/>
                    <a:srcRect/>
                    <a:stretch>
                      <a:fillRect/>
                    </a:stretch>
                  </pic:blipFill>
                  <pic:spPr>
                    <a:xfrm>
                      <a:off x="0" y="0"/>
                      <a:ext cx="5480685" cy="4157345"/>
                    </a:xfrm>
                    <a:prstGeom prst="rect">
                      <a:avLst/>
                    </a:prstGeom>
                    <a:ln>
                      <a:noFill/>
                    </a:ln>
                  </pic:spPr>
                </pic:pic>
              </a:graphicData>
            </a:graphic>
          </wp:inline>
        </w:drawing>
      </w:r>
    </w:p>
    <w:p w14:paraId="360774AD">
      <w:pPr>
        <w:spacing w:line="360" w:lineRule="auto"/>
        <w:ind w:firstLine="848" w:firstLineChars="265"/>
        <w:jc w:val="center"/>
        <w:rPr>
          <w:rFonts w:ascii="宋体" w:hAnsi="宋体" w:cs="宋体"/>
          <w:sz w:val="32"/>
          <w:szCs w:val="32"/>
        </w:rPr>
      </w:pPr>
    </w:p>
    <w:p w14:paraId="5713F181">
      <w:pPr>
        <w:keepNext w:val="0"/>
        <w:keepLines w:val="0"/>
        <w:pageBreakBefore w:val="0"/>
        <w:widowControl w:val="0"/>
        <w:kinsoku/>
        <w:wordWrap/>
        <w:overflowPunct/>
        <w:topLinePunct w:val="0"/>
        <w:autoSpaceDE/>
        <w:autoSpaceDN/>
        <w:bidi w:val="0"/>
        <w:adjustRightInd/>
        <w:snapToGrid/>
        <w:spacing w:line="360" w:lineRule="auto"/>
        <w:ind w:firstLine="2400" w:firstLineChars="750"/>
        <w:jc w:val="both"/>
        <w:textAlignment w:val="auto"/>
        <w:rPr>
          <w:rFonts w:ascii="宋体" w:hAnsi="宋体" w:cs="宋体"/>
          <w:b w:val="0"/>
          <w:bCs w:val="0"/>
          <w:sz w:val="32"/>
          <w:szCs w:val="32"/>
        </w:rPr>
      </w:pPr>
      <w:r>
        <w:rPr>
          <w:rFonts w:hint="eastAsia" w:ascii="宋体" w:hAnsi="宋体" w:cs="宋体"/>
          <w:b w:val="0"/>
          <w:bCs w:val="0"/>
          <w:sz w:val="32"/>
          <w:szCs w:val="32"/>
        </w:rPr>
        <w:t>采   购  人：扬州大学附属医院</w:t>
      </w:r>
    </w:p>
    <w:p w14:paraId="00215435">
      <w:pPr>
        <w:keepNext w:val="0"/>
        <w:keepLines w:val="0"/>
        <w:pageBreakBefore w:val="0"/>
        <w:widowControl w:val="0"/>
        <w:kinsoku/>
        <w:wordWrap/>
        <w:overflowPunct/>
        <w:topLinePunct w:val="0"/>
        <w:autoSpaceDE/>
        <w:autoSpaceDN/>
        <w:bidi w:val="0"/>
        <w:adjustRightInd/>
        <w:snapToGrid/>
        <w:spacing w:line="360" w:lineRule="auto"/>
        <w:ind w:firstLine="2400" w:firstLineChars="750"/>
        <w:jc w:val="both"/>
        <w:textAlignment w:val="auto"/>
        <w:rPr>
          <w:rFonts w:hint="default" w:ascii="宋体" w:hAnsi="宋体" w:cs="宋体"/>
          <w:b w:val="0"/>
          <w:bCs w:val="0"/>
          <w:sz w:val="32"/>
          <w:szCs w:val="32"/>
          <w:lang w:val="en-US"/>
        </w:rPr>
      </w:pPr>
      <w:r>
        <w:rPr>
          <w:rFonts w:hint="eastAsia" w:ascii="宋体" w:hAnsi="宋体" w:cs="宋体"/>
          <w:b w:val="0"/>
          <w:bCs w:val="0"/>
          <w:sz w:val="32"/>
          <w:szCs w:val="32"/>
          <w:lang w:val="en-US" w:eastAsia="zh-CN"/>
        </w:rPr>
        <w:t>项 目 编 号：CGZX2026XX2035</w:t>
      </w:r>
    </w:p>
    <w:p w14:paraId="2513651D">
      <w:pPr>
        <w:keepNext w:val="0"/>
        <w:keepLines w:val="0"/>
        <w:pageBreakBefore w:val="0"/>
        <w:widowControl w:val="0"/>
        <w:kinsoku/>
        <w:wordWrap/>
        <w:overflowPunct/>
        <w:topLinePunct w:val="0"/>
        <w:autoSpaceDE/>
        <w:autoSpaceDN/>
        <w:bidi w:val="0"/>
        <w:adjustRightInd/>
        <w:snapToGrid/>
        <w:spacing w:line="360" w:lineRule="auto"/>
        <w:ind w:firstLine="2400" w:firstLineChars="750"/>
        <w:jc w:val="both"/>
        <w:textAlignment w:val="auto"/>
        <w:rPr>
          <w:rFonts w:hint="default" w:ascii="宋体" w:hAnsi="宋体" w:eastAsia="宋体" w:cs="宋体"/>
          <w:b w:val="0"/>
          <w:bCs w:val="0"/>
          <w:color w:val="auto"/>
          <w:sz w:val="32"/>
          <w:szCs w:val="32"/>
          <w:lang w:val="en-US" w:eastAsia="zh-CN"/>
        </w:rPr>
      </w:pPr>
      <w:r>
        <w:rPr>
          <w:rFonts w:hint="eastAsia" w:ascii="宋体" w:hAnsi="宋体" w:cs="宋体"/>
          <w:b w:val="0"/>
          <w:bCs w:val="0"/>
          <w:color w:val="auto"/>
          <w:sz w:val="32"/>
          <w:szCs w:val="32"/>
        </w:rPr>
        <w:t>发 放 日 期：</w:t>
      </w:r>
      <w:bookmarkStart w:id="0" w:name="EB59c3faf64f2a4bd092a206fb1d0c3c03"/>
      <w:r>
        <w:rPr>
          <w:rFonts w:hint="eastAsia" w:ascii="宋体" w:hAnsi="宋体" w:cs="宋体"/>
          <w:b w:val="0"/>
          <w:bCs w:val="0"/>
          <w:color w:val="auto"/>
          <w:sz w:val="32"/>
          <w:szCs w:val="32"/>
        </w:rPr>
        <w:t>202</w:t>
      </w:r>
      <w:r>
        <w:rPr>
          <w:rFonts w:ascii="宋体" w:hAnsi="宋体" w:cs="宋体"/>
          <w:b w:val="0"/>
          <w:bCs w:val="0"/>
          <w:color w:val="auto"/>
          <w:sz w:val="32"/>
          <w:szCs w:val="32"/>
        </w:rPr>
        <w:t>6</w:t>
      </w:r>
      <w:r>
        <w:rPr>
          <w:rFonts w:hint="eastAsia" w:ascii="宋体" w:hAnsi="宋体" w:cs="宋体"/>
          <w:b w:val="0"/>
          <w:bCs w:val="0"/>
          <w:color w:val="auto"/>
          <w:sz w:val="32"/>
          <w:szCs w:val="32"/>
        </w:rPr>
        <w:t>年</w:t>
      </w:r>
      <w:r>
        <w:rPr>
          <w:rFonts w:hint="eastAsia" w:ascii="宋体" w:hAnsi="宋体" w:cs="宋体"/>
          <w:b w:val="0"/>
          <w:bCs w:val="0"/>
          <w:color w:val="auto"/>
          <w:sz w:val="32"/>
          <w:szCs w:val="32"/>
          <w:highlight w:val="none"/>
          <w:lang w:val="en-US" w:eastAsia="zh-CN"/>
        </w:rPr>
        <w:t>7</w:t>
      </w:r>
      <w:r>
        <w:rPr>
          <w:rFonts w:hint="eastAsia" w:ascii="宋体" w:hAnsi="宋体" w:cs="宋体"/>
          <w:b w:val="0"/>
          <w:bCs w:val="0"/>
          <w:color w:val="auto"/>
          <w:sz w:val="32"/>
          <w:szCs w:val="32"/>
          <w:highlight w:val="none"/>
        </w:rPr>
        <w:t>月</w:t>
      </w:r>
      <w:bookmarkEnd w:id="0"/>
      <w:r>
        <w:rPr>
          <w:rFonts w:hint="eastAsia" w:ascii="宋体" w:hAnsi="宋体" w:cs="宋体"/>
          <w:b w:val="0"/>
          <w:bCs w:val="0"/>
          <w:color w:val="auto"/>
          <w:sz w:val="32"/>
          <w:szCs w:val="32"/>
          <w:highlight w:val="none"/>
          <w:lang w:val="en-US" w:eastAsia="zh-CN"/>
        </w:rPr>
        <w:t>3日</w:t>
      </w:r>
    </w:p>
    <w:p w14:paraId="741AD37D">
      <w:pPr>
        <w:jc w:val="center"/>
        <w:rPr>
          <w:rFonts w:ascii="宋体" w:hAnsi="宋体"/>
          <w:b/>
          <w:bCs/>
          <w:sz w:val="48"/>
          <w:szCs w:val="48"/>
        </w:rPr>
      </w:pPr>
    </w:p>
    <w:p w14:paraId="57508D80">
      <w:pPr>
        <w:spacing w:line="360" w:lineRule="auto"/>
        <w:ind w:firstLine="5060" w:firstLineChars="1400"/>
        <w:rPr>
          <w:rFonts w:hint="eastAsia" w:ascii="宋体" w:hAnsi="宋体"/>
          <w:b/>
          <w:bCs/>
          <w:sz w:val="36"/>
          <w:szCs w:val="36"/>
        </w:rPr>
        <w:sectPr>
          <w:footerReference r:id="rId3" w:type="default"/>
          <w:pgSz w:w="11906" w:h="16838"/>
          <w:pgMar w:top="1440" w:right="1080" w:bottom="1440" w:left="1080" w:header="851" w:footer="992" w:gutter="0"/>
          <w:pgNumType w:fmt="decimal" w:start="0"/>
          <w:cols w:space="425" w:num="1"/>
          <w:titlePg/>
          <w:docGrid w:type="lines" w:linePitch="312" w:charSpace="0"/>
        </w:sectPr>
      </w:pPr>
    </w:p>
    <w:p w14:paraId="443046F7">
      <w:pPr>
        <w:spacing w:line="360" w:lineRule="auto"/>
        <w:jc w:val="center"/>
        <w:rPr>
          <w:rFonts w:ascii="宋体" w:hAnsi="宋体"/>
          <w:b/>
          <w:bCs/>
          <w:sz w:val="36"/>
          <w:szCs w:val="36"/>
        </w:rPr>
      </w:pPr>
      <w:r>
        <w:rPr>
          <w:rFonts w:hint="eastAsia" w:ascii="宋体" w:hAnsi="宋体"/>
          <w:b/>
          <w:bCs/>
          <w:sz w:val="36"/>
          <w:szCs w:val="36"/>
        </w:rPr>
        <w:t>目  录</w:t>
      </w:r>
    </w:p>
    <w:p w14:paraId="0B1F4295">
      <w:pPr>
        <w:pStyle w:val="16"/>
        <w:ind w:firstLine="630" w:firstLineChars="300"/>
      </w:pPr>
    </w:p>
    <w:p w14:paraId="494A013B">
      <w:pPr>
        <w:pStyle w:val="16"/>
        <w:ind w:firstLine="240" w:firstLineChars="100"/>
        <w:contextualSpacing/>
        <w:jc w:val="left"/>
        <w:rPr>
          <w:rFonts w:hint="eastAsia" w:ascii="宋体" w:hAnsi="宋体" w:eastAsia="宋体"/>
          <w:sz w:val="24"/>
          <w:lang w:eastAsia="zh-CN"/>
        </w:rPr>
      </w:pPr>
      <w:r>
        <w:rPr>
          <w:rFonts w:ascii="宋体" w:hAnsi="宋体"/>
          <w:sz w:val="24"/>
        </w:rPr>
        <w:t>一、</w:t>
      </w:r>
      <w:r>
        <w:rPr>
          <w:rFonts w:hint="eastAsia" w:ascii="宋体" w:hAnsi="宋体"/>
          <w:sz w:val="24"/>
          <w:lang w:val="en-US" w:eastAsia="zh-CN"/>
        </w:rPr>
        <w:t>谈判</w:t>
      </w:r>
      <w:r>
        <w:rPr>
          <w:rFonts w:hint="eastAsia" w:ascii="宋体" w:hAnsi="宋体"/>
          <w:sz w:val="24"/>
        </w:rPr>
        <w:t>邀请</w:t>
      </w:r>
      <w:r>
        <w:rPr>
          <w:rFonts w:ascii="宋体" w:hAnsi="宋体"/>
          <w:sz w:val="24"/>
        </w:rPr>
        <w:t>………………………………………………………………………</w:t>
      </w:r>
      <w:r>
        <w:rPr>
          <w:rFonts w:hint="eastAsia" w:ascii="宋体" w:hAnsi="宋体"/>
          <w:sz w:val="24"/>
          <w:lang w:val="en-US" w:eastAsia="zh-CN"/>
        </w:rPr>
        <w:t>1</w:t>
      </w:r>
    </w:p>
    <w:p w14:paraId="371E09A1">
      <w:pPr>
        <w:spacing w:line="360" w:lineRule="auto"/>
        <w:ind w:firstLine="240" w:firstLineChars="100"/>
        <w:contextualSpacing/>
        <w:jc w:val="left"/>
        <w:rPr>
          <w:rFonts w:hint="eastAsia" w:ascii="宋体" w:hAnsi="宋体" w:eastAsia="宋体"/>
          <w:sz w:val="24"/>
          <w:lang w:eastAsia="zh-CN"/>
        </w:rPr>
      </w:pPr>
      <w:r>
        <w:rPr>
          <w:rFonts w:hint="eastAsia" w:ascii="宋体" w:hAnsi="宋体"/>
          <w:sz w:val="24"/>
        </w:rPr>
        <w:t>二、项目需求</w:t>
      </w:r>
      <w:r>
        <w:rPr>
          <w:rFonts w:ascii="宋体" w:hAnsi="宋体"/>
          <w:sz w:val="24"/>
        </w:rPr>
        <w:t>………………………………………………………………………</w:t>
      </w:r>
      <w:r>
        <w:rPr>
          <w:rFonts w:hint="eastAsia" w:ascii="宋体" w:hAnsi="宋体"/>
          <w:sz w:val="24"/>
          <w:lang w:val="en-US" w:eastAsia="zh-CN"/>
        </w:rPr>
        <w:t>2</w:t>
      </w:r>
    </w:p>
    <w:p w14:paraId="16642D1F">
      <w:pPr>
        <w:spacing w:line="360" w:lineRule="auto"/>
        <w:ind w:firstLine="240" w:firstLineChars="100"/>
        <w:contextualSpacing/>
        <w:jc w:val="left"/>
        <w:rPr>
          <w:rFonts w:hint="default" w:ascii="宋体" w:hAnsi="宋体" w:eastAsia="宋体"/>
          <w:sz w:val="24"/>
          <w:lang w:val="en-US" w:eastAsia="zh-CN"/>
        </w:rPr>
      </w:pPr>
      <w:r>
        <w:rPr>
          <w:rFonts w:hint="eastAsia" w:ascii="宋体" w:hAnsi="宋体"/>
          <w:sz w:val="24"/>
        </w:rPr>
        <w:t>三、</w:t>
      </w:r>
      <w:r>
        <w:rPr>
          <w:rFonts w:ascii="宋体" w:hAnsi="宋体"/>
          <w:sz w:val="24"/>
        </w:rPr>
        <w:t>投标人须知……………………………………………………………………</w:t>
      </w:r>
      <w:r>
        <w:rPr>
          <w:rFonts w:hint="eastAsia" w:ascii="宋体" w:hAnsi="宋体"/>
          <w:sz w:val="24"/>
          <w:lang w:val="en-US" w:eastAsia="zh-CN"/>
        </w:rPr>
        <w:t>12</w:t>
      </w:r>
    </w:p>
    <w:p w14:paraId="1C23CA9E">
      <w:pPr>
        <w:spacing w:line="360" w:lineRule="auto"/>
        <w:ind w:firstLine="240" w:firstLineChars="100"/>
        <w:contextualSpacing/>
        <w:jc w:val="left"/>
        <w:rPr>
          <w:rFonts w:hint="default" w:ascii="宋体" w:hAnsi="宋体" w:eastAsia="宋体"/>
          <w:bCs/>
          <w:sz w:val="24"/>
          <w:lang w:val="en-US" w:eastAsia="zh-CN"/>
        </w:rPr>
      </w:pPr>
      <w:r>
        <w:rPr>
          <w:rFonts w:hint="eastAsia" w:ascii="宋体" w:hAnsi="宋体"/>
          <w:bCs/>
          <w:sz w:val="24"/>
        </w:rPr>
        <w:t>四、投标文件格式及附件要求</w:t>
      </w:r>
      <w:r>
        <w:rPr>
          <w:rFonts w:ascii="宋体" w:hAnsi="宋体"/>
          <w:bCs/>
          <w:sz w:val="24"/>
        </w:rPr>
        <w:t>……………………………………………………</w:t>
      </w:r>
      <w:r>
        <w:rPr>
          <w:rFonts w:hint="eastAsia" w:ascii="宋体" w:hAnsi="宋体"/>
          <w:bCs/>
          <w:sz w:val="24"/>
          <w:lang w:val="en-US" w:eastAsia="zh-CN"/>
        </w:rPr>
        <w:t>14</w:t>
      </w:r>
    </w:p>
    <w:p w14:paraId="1867F6F9">
      <w:pPr>
        <w:spacing w:line="360" w:lineRule="auto"/>
        <w:contextualSpacing/>
        <w:jc w:val="center"/>
        <w:rPr>
          <w:rFonts w:ascii="宋体" w:hAnsi="宋体"/>
          <w:bCs/>
          <w:sz w:val="24"/>
        </w:rPr>
      </w:pPr>
    </w:p>
    <w:p w14:paraId="677A5F9C">
      <w:pPr>
        <w:rPr>
          <w:rFonts w:ascii="宋体" w:hAnsi="宋体"/>
          <w:sz w:val="30"/>
          <w:szCs w:val="30"/>
        </w:rPr>
      </w:pPr>
    </w:p>
    <w:p w14:paraId="5CB2C381">
      <w:pPr>
        <w:spacing w:line="360" w:lineRule="auto"/>
        <w:jc w:val="center"/>
      </w:pPr>
      <w:bookmarkStart w:id="1" w:name="_Toc39744251"/>
    </w:p>
    <w:p w14:paraId="510311EA">
      <w:pPr>
        <w:spacing w:line="360" w:lineRule="auto"/>
        <w:jc w:val="center"/>
      </w:pPr>
    </w:p>
    <w:p w14:paraId="7DD326FB">
      <w:pPr>
        <w:spacing w:line="360" w:lineRule="auto"/>
        <w:jc w:val="center"/>
      </w:pPr>
    </w:p>
    <w:p w14:paraId="288B5762">
      <w:pPr>
        <w:spacing w:line="360" w:lineRule="auto"/>
        <w:jc w:val="center"/>
      </w:pPr>
    </w:p>
    <w:p w14:paraId="04A4092C">
      <w:pPr>
        <w:spacing w:line="360" w:lineRule="auto"/>
        <w:jc w:val="center"/>
      </w:pPr>
    </w:p>
    <w:p w14:paraId="240083CD">
      <w:pPr>
        <w:spacing w:line="360" w:lineRule="auto"/>
        <w:jc w:val="center"/>
      </w:pPr>
    </w:p>
    <w:p w14:paraId="42CD0665">
      <w:pPr>
        <w:spacing w:line="360" w:lineRule="auto"/>
        <w:jc w:val="center"/>
      </w:pPr>
    </w:p>
    <w:p w14:paraId="4E7B3000">
      <w:pPr>
        <w:spacing w:line="360" w:lineRule="auto"/>
        <w:jc w:val="center"/>
      </w:pPr>
    </w:p>
    <w:p w14:paraId="66ED4BA3">
      <w:pPr>
        <w:spacing w:line="360" w:lineRule="auto"/>
        <w:jc w:val="center"/>
      </w:pPr>
    </w:p>
    <w:p w14:paraId="387B8BAD">
      <w:pPr>
        <w:spacing w:line="360" w:lineRule="auto"/>
        <w:jc w:val="center"/>
      </w:pPr>
    </w:p>
    <w:p w14:paraId="76AA2F0E">
      <w:pPr>
        <w:spacing w:line="360" w:lineRule="auto"/>
        <w:jc w:val="center"/>
      </w:pPr>
    </w:p>
    <w:p w14:paraId="79DC29AA">
      <w:pPr>
        <w:spacing w:line="360" w:lineRule="auto"/>
        <w:jc w:val="center"/>
      </w:pPr>
    </w:p>
    <w:p w14:paraId="0E374916">
      <w:pPr>
        <w:spacing w:line="360" w:lineRule="auto"/>
        <w:jc w:val="center"/>
      </w:pPr>
    </w:p>
    <w:p w14:paraId="79FB7AE0">
      <w:pPr>
        <w:spacing w:line="360" w:lineRule="auto"/>
        <w:jc w:val="center"/>
      </w:pPr>
    </w:p>
    <w:p w14:paraId="3FA5D1D2">
      <w:pPr>
        <w:spacing w:line="360" w:lineRule="auto"/>
        <w:jc w:val="center"/>
      </w:pPr>
    </w:p>
    <w:p w14:paraId="576F353D">
      <w:pPr>
        <w:spacing w:line="360" w:lineRule="auto"/>
        <w:jc w:val="center"/>
      </w:pPr>
    </w:p>
    <w:p w14:paraId="605A37BB">
      <w:pPr>
        <w:spacing w:line="360" w:lineRule="auto"/>
        <w:jc w:val="center"/>
      </w:pPr>
    </w:p>
    <w:p w14:paraId="0018E138">
      <w:pPr>
        <w:spacing w:line="360" w:lineRule="auto"/>
        <w:jc w:val="center"/>
      </w:pPr>
    </w:p>
    <w:p w14:paraId="5584E47A">
      <w:pPr>
        <w:spacing w:line="360" w:lineRule="auto"/>
        <w:jc w:val="center"/>
        <w:rPr>
          <w:rFonts w:ascii="宋体" w:hAnsi="宋体" w:cs="宋体"/>
          <w:b/>
          <w:sz w:val="28"/>
          <w:szCs w:val="20"/>
        </w:rPr>
      </w:pPr>
    </w:p>
    <w:p w14:paraId="122FA380">
      <w:pPr>
        <w:rPr>
          <w:rFonts w:hint="eastAsia"/>
          <w:b/>
          <w:sz w:val="32"/>
          <w:szCs w:val="32"/>
        </w:rPr>
      </w:pPr>
      <w:r>
        <w:rPr>
          <w:rFonts w:hint="eastAsia"/>
          <w:b/>
          <w:sz w:val="32"/>
          <w:szCs w:val="32"/>
        </w:rPr>
        <w:br w:type="page"/>
      </w:r>
    </w:p>
    <w:p w14:paraId="3BA1A0E2">
      <w:pPr>
        <w:jc w:val="center"/>
        <w:rPr>
          <w:rFonts w:hint="eastAsia"/>
          <w:b/>
          <w:sz w:val="32"/>
          <w:szCs w:val="32"/>
        </w:rPr>
        <w:sectPr>
          <w:footerReference r:id="rId5" w:type="first"/>
          <w:footerReference r:id="rId4" w:type="default"/>
          <w:pgSz w:w="11906" w:h="16838"/>
          <w:pgMar w:top="1440" w:right="1080" w:bottom="1440" w:left="1080" w:header="851" w:footer="992" w:gutter="0"/>
          <w:pgNumType w:fmt="decimal" w:start="1"/>
          <w:cols w:space="425" w:num="1"/>
          <w:titlePg/>
          <w:docGrid w:type="lines" w:linePitch="312" w:charSpace="0"/>
        </w:sectPr>
      </w:pPr>
    </w:p>
    <w:p w14:paraId="663E12EE">
      <w:pPr>
        <w:jc w:val="center"/>
        <w:rPr>
          <w:b/>
          <w:sz w:val="32"/>
          <w:szCs w:val="32"/>
        </w:rPr>
      </w:pPr>
      <w:r>
        <w:rPr>
          <w:rFonts w:hint="eastAsia"/>
          <w:b/>
          <w:sz w:val="32"/>
          <w:szCs w:val="32"/>
        </w:rPr>
        <w:t>一、</w:t>
      </w:r>
      <w:bookmarkEnd w:id="1"/>
      <w:r>
        <w:rPr>
          <w:rFonts w:hint="eastAsia"/>
          <w:b/>
          <w:sz w:val="32"/>
          <w:szCs w:val="32"/>
          <w:lang w:val="en-US" w:eastAsia="zh-CN"/>
        </w:rPr>
        <w:t>谈判</w:t>
      </w:r>
      <w:r>
        <w:rPr>
          <w:rFonts w:hint="eastAsia"/>
          <w:b/>
          <w:sz w:val="32"/>
          <w:szCs w:val="32"/>
        </w:rPr>
        <w:t>邀请</w:t>
      </w:r>
    </w:p>
    <w:tbl>
      <w:tblPr>
        <w:tblStyle w:val="22"/>
        <w:tblW w:w="4871"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2478"/>
        <w:gridCol w:w="736"/>
        <w:gridCol w:w="941"/>
        <w:gridCol w:w="269"/>
        <w:gridCol w:w="3362"/>
      </w:tblGrid>
      <w:tr w14:paraId="6605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7669308A">
            <w:pPr>
              <w:jc w:val="center"/>
              <w:rPr>
                <w:rFonts w:ascii="宋体" w:hAnsi="宋体"/>
                <w:szCs w:val="21"/>
              </w:rPr>
            </w:pPr>
            <w:r>
              <w:rPr>
                <w:rFonts w:hint="eastAsia" w:ascii="宋体" w:hAnsi="宋体"/>
                <w:szCs w:val="21"/>
              </w:rPr>
              <w:t>项目名称</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3C78168B">
            <w:pPr>
              <w:spacing w:line="360" w:lineRule="auto"/>
              <w:rPr>
                <w:rFonts w:ascii="宋体" w:hAnsi="宋体"/>
                <w:szCs w:val="21"/>
              </w:rPr>
            </w:pPr>
            <w:r>
              <w:rPr>
                <w:rFonts w:hint="eastAsia" w:ascii="宋体" w:hAnsi="宋体" w:eastAsia="宋体" w:cs="宋体"/>
                <w:color w:val="auto"/>
                <w:sz w:val="21"/>
                <w:szCs w:val="21"/>
                <w:lang w:val="en-US" w:eastAsia="zh-CN"/>
              </w:rPr>
              <w:t>财务发票查验系统项目</w:t>
            </w:r>
          </w:p>
        </w:tc>
      </w:tr>
      <w:tr w14:paraId="2A4E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021BB7A5">
            <w:pPr>
              <w:jc w:val="center"/>
              <w:rPr>
                <w:rFonts w:ascii="宋体" w:hAnsi="宋体"/>
                <w:szCs w:val="21"/>
              </w:rPr>
            </w:pPr>
            <w:r>
              <w:rPr>
                <w:rFonts w:hint="eastAsia" w:ascii="宋体" w:hAnsi="宋体"/>
                <w:szCs w:val="21"/>
              </w:rPr>
              <w:t>服务地点</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7C60D814">
            <w:pPr>
              <w:rPr>
                <w:rFonts w:ascii="宋体" w:hAnsi="宋体"/>
                <w:b/>
                <w:szCs w:val="21"/>
              </w:rPr>
            </w:pPr>
            <w:r>
              <w:rPr>
                <w:rFonts w:hint="eastAsia" w:ascii="宋体" w:hAnsi="宋体"/>
                <w:b/>
                <w:bCs w:val="0"/>
                <w:szCs w:val="21"/>
              </w:rPr>
              <w:t>扬州大学附属医院</w:t>
            </w:r>
          </w:p>
        </w:tc>
      </w:tr>
      <w:tr w14:paraId="3B8F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93" w:type="pct"/>
            <w:tcBorders>
              <w:top w:val="single" w:color="auto" w:sz="4" w:space="0"/>
              <w:left w:val="single" w:color="auto" w:sz="4" w:space="0"/>
              <w:bottom w:val="single" w:color="auto" w:sz="4" w:space="0"/>
              <w:right w:val="single" w:color="auto" w:sz="4" w:space="0"/>
            </w:tcBorders>
            <w:vAlign w:val="center"/>
          </w:tcPr>
          <w:p w14:paraId="2060F2CD">
            <w:pPr>
              <w:jc w:val="center"/>
              <w:rPr>
                <w:rFonts w:ascii="宋体" w:hAnsi="宋体"/>
                <w:szCs w:val="21"/>
              </w:rPr>
            </w:pPr>
            <w:r>
              <w:rPr>
                <w:rFonts w:hint="eastAsia" w:ascii="宋体" w:hAnsi="宋体"/>
                <w:szCs w:val="21"/>
              </w:rPr>
              <w:t>承包方式</w:t>
            </w:r>
          </w:p>
        </w:tc>
        <w:tc>
          <w:tcPr>
            <w:tcW w:w="1307" w:type="pct"/>
            <w:tcBorders>
              <w:top w:val="single" w:color="auto" w:sz="4" w:space="0"/>
              <w:left w:val="single" w:color="auto" w:sz="4" w:space="0"/>
              <w:bottom w:val="single" w:color="auto" w:sz="4" w:space="0"/>
              <w:right w:val="single" w:color="auto" w:sz="4" w:space="0"/>
            </w:tcBorders>
            <w:vAlign w:val="center"/>
          </w:tcPr>
          <w:p w14:paraId="424F69A8">
            <w:pPr>
              <w:spacing w:line="320" w:lineRule="exact"/>
              <w:jc w:val="center"/>
              <w:rPr>
                <w:rFonts w:ascii="宋体" w:hAnsi="宋体"/>
                <w:szCs w:val="21"/>
              </w:rPr>
            </w:pPr>
            <w:r>
              <w:rPr>
                <w:rFonts w:hint="eastAsia" w:ascii="宋体" w:hAnsi="宋体"/>
                <w:szCs w:val="21"/>
              </w:rPr>
              <w:t>/</w:t>
            </w:r>
          </w:p>
        </w:tc>
        <w:tc>
          <w:tcPr>
            <w:tcW w:w="884" w:type="pct"/>
            <w:gridSpan w:val="2"/>
            <w:tcBorders>
              <w:top w:val="single" w:color="auto" w:sz="4" w:space="0"/>
              <w:left w:val="single" w:color="auto" w:sz="4" w:space="0"/>
              <w:bottom w:val="single" w:color="auto" w:sz="4" w:space="0"/>
              <w:right w:val="single" w:color="auto" w:sz="4" w:space="0"/>
            </w:tcBorders>
            <w:vAlign w:val="center"/>
          </w:tcPr>
          <w:p w14:paraId="7B951AEF">
            <w:pPr>
              <w:jc w:val="center"/>
              <w:rPr>
                <w:rFonts w:ascii="宋体" w:hAnsi="宋体"/>
                <w:szCs w:val="21"/>
              </w:rPr>
            </w:pPr>
            <w:r>
              <w:rPr>
                <w:rFonts w:hint="eastAsia" w:ascii="宋体" w:hAnsi="宋体"/>
                <w:szCs w:val="21"/>
              </w:rPr>
              <w:t>质量标准</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223738EA">
            <w:pPr>
              <w:jc w:val="center"/>
              <w:rPr>
                <w:rFonts w:ascii="宋体" w:hAnsi="宋体"/>
                <w:szCs w:val="21"/>
              </w:rPr>
            </w:pPr>
            <w:r>
              <w:rPr>
                <w:rFonts w:hint="eastAsia" w:ascii="宋体" w:hAnsi="宋体"/>
                <w:szCs w:val="21"/>
              </w:rPr>
              <w:t>合 格</w:t>
            </w:r>
          </w:p>
        </w:tc>
      </w:tr>
      <w:tr w14:paraId="56A6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3" w:type="pct"/>
            <w:tcBorders>
              <w:top w:val="single" w:color="auto" w:sz="4" w:space="0"/>
              <w:left w:val="single" w:color="auto" w:sz="4" w:space="0"/>
              <w:bottom w:val="single" w:color="auto" w:sz="4" w:space="0"/>
              <w:right w:val="single" w:color="auto" w:sz="4" w:space="0"/>
            </w:tcBorders>
            <w:vAlign w:val="center"/>
          </w:tcPr>
          <w:p w14:paraId="7DCB8120">
            <w:pPr>
              <w:jc w:val="center"/>
              <w:rPr>
                <w:rFonts w:ascii="宋体" w:hAnsi="宋体"/>
                <w:szCs w:val="21"/>
              </w:rPr>
            </w:pPr>
            <w:r>
              <w:rPr>
                <w:rFonts w:hint="eastAsia" w:ascii="宋体" w:hAnsi="宋体"/>
                <w:szCs w:val="21"/>
              </w:rPr>
              <w:t>预算价</w:t>
            </w:r>
          </w:p>
        </w:tc>
        <w:tc>
          <w:tcPr>
            <w:tcW w:w="1307" w:type="pct"/>
            <w:tcBorders>
              <w:top w:val="single" w:color="auto" w:sz="4" w:space="0"/>
              <w:left w:val="single" w:color="auto" w:sz="4" w:space="0"/>
              <w:bottom w:val="single" w:color="auto" w:sz="4" w:space="0"/>
              <w:right w:val="single" w:color="auto" w:sz="4" w:space="0"/>
            </w:tcBorders>
            <w:vAlign w:val="center"/>
          </w:tcPr>
          <w:p w14:paraId="0325B75E">
            <w:pPr>
              <w:spacing w:line="320" w:lineRule="exact"/>
              <w:jc w:val="center"/>
              <w:rPr>
                <w:rFonts w:ascii="宋体" w:hAnsi="宋体"/>
                <w:szCs w:val="21"/>
              </w:rPr>
            </w:pPr>
            <w:r>
              <w:rPr>
                <w:rFonts w:hint="eastAsia" w:ascii="宋体" w:hAnsi="宋体"/>
                <w:b/>
                <w:bCs/>
                <w:szCs w:val="21"/>
                <w:lang w:val="en-US" w:eastAsia="zh-CN"/>
              </w:rPr>
              <w:t>12</w:t>
            </w:r>
            <w:r>
              <w:rPr>
                <w:rFonts w:hint="eastAsia" w:ascii="宋体" w:hAnsi="宋体"/>
                <w:b/>
                <w:bCs/>
                <w:szCs w:val="21"/>
              </w:rPr>
              <w:t>万元</w:t>
            </w:r>
          </w:p>
        </w:tc>
        <w:tc>
          <w:tcPr>
            <w:tcW w:w="884" w:type="pct"/>
            <w:gridSpan w:val="2"/>
            <w:tcBorders>
              <w:top w:val="single" w:color="auto" w:sz="4" w:space="0"/>
              <w:left w:val="single" w:color="auto" w:sz="4" w:space="0"/>
              <w:right w:val="single" w:color="auto" w:sz="4" w:space="0"/>
            </w:tcBorders>
            <w:vAlign w:val="center"/>
          </w:tcPr>
          <w:p w14:paraId="58F845AC">
            <w:pPr>
              <w:jc w:val="center"/>
              <w:rPr>
                <w:rFonts w:ascii="宋体" w:hAnsi="宋体"/>
                <w:szCs w:val="21"/>
              </w:rPr>
            </w:pPr>
            <w:r>
              <w:rPr>
                <w:rFonts w:hint="eastAsia" w:ascii="宋体" w:hAnsi="宋体"/>
                <w:szCs w:val="21"/>
              </w:rPr>
              <w:t>标书工本费</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4795BDFD">
            <w:pPr>
              <w:jc w:val="center"/>
              <w:rPr>
                <w:rFonts w:ascii="宋体" w:hAnsi="宋体"/>
                <w:szCs w:val="21"/>
              </w:rPr>
            </w:pPr>
            <w:r>
              <w:rPr>
                <w:rFonts w:hint="eastAsia" w:ascii="宋体" w:hAnsi="宋体"/>
                <w:szCs w:val="21"/>
              </w:rPr>
              <w:t>/</w:t>
            </w:r>
          </w:p>
        </w:tc>
      </w:tr>
      <w:tr w14:paraId="3C7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4A226DDC">
            <w:pPr>
              <w:jc w:val="center"/>
              <w:rPr>
                <w:rFonts w:ascii="宋体" w:hAnsi="宋体"/>
                <w:szCs w:val="21"/>
              </w:rPr>
            </w:pPr>
            <w:r>
              <w:rPr>
                <w:rFonts w:hint="eastAsia"/>
                <w:szCs w:val="21"/>
              </w:rPr>
              <w:t>投标文件要求</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5DD78ED">
            <w:pPr>
              <w:spacing w:line="360" w:lineRule="auto"/>
              <w:rPr>
                <w:rFonts w:ascii="宋体" w:hAnsi="宋体"/>
                <w:szCs w:val="21"/>
              </w:rPr>
            </w:pPr>
            <w:r>
              <w:rPr>
                <w:rFonts w:hint="eastAsia" w:ascii="宋体" w:hAnsi="宋体"/>
                <w:szCs w:val="21"/>
              </w:rPr>
              <w:t>投标文件正本1份，副本4份；所有投标文件的封面及封袋上都必须加盖投标单位法人公章及其法定代表人或授权委托人的签字。</w:t>
            </w:r>
          </w:p>
        </w:tc>
      </w:tr>
      <w:tr w14:paraId="06AB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3" w:type="pct"/>
            <w:tcBorders>
              <w:top w:val="single" w:color="auto" w:sz="4" w:space="0"/>
              <w:left w:val="single" w:color="auto" w:sz="4" w:space="0"/>
              <w:bottom w:val="single" w:color="auto" w:sz="4" w:space="0"/>
              <w:right w:val="single" w:color="auto" w:sz="4" w:space="0"/>
            </w:tcBorders>
            <w:vAlign w:val="center"/>
          </w:tcPr>
          <w:p w14:paraId="68F88450">
            <w:pPr>
              <w:spacing w:line="360" w:lineRule="auto"/>
              <w:jc w:val="center"/>
              <w:rPr>
                <w:rFonts w:ascii="宋体" w:hAnsi="宋体"/>
                <w:szCs w:val="21"/>
              </w:rPr>
            </w:pPr>
            <w:r>
              <w:rPr>
                <w:rFonts w:hint="eastAsia" w:ascii="宋体" w:hAnsi="宋体"/>
                <w:szCs w:val="21"/>
              </w:rPr>
              <w:t>报名截止时间</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F8DFBC">
            <w:pPr>
              <w:spacing w:line="360" w:lineRule="auto"/>
              <w:rPr>
                <w:rFonts w:hint="default" w:ascii="宋体" w:hAnsi="宋体" w:eastAsia="宋体"/>
                <w:szCs w:val="21"/>
                <w:highlight w:val="none"/>
                <w:lang w:val="en-US" w:eastAsia="zh-CN"/>
              </w:rPr>
            </w:pPr>
            <w:r>
              <w:rPr>
                <w:rFonts w:hint="eastAsia" w:ascii="宋体" w:hAnsi="宋体"/>
                <w:b/>
                <w:bCs/>
                <w:color w:val="FF0000"/>
                <w:szCs w:val="21"/>
                <w:highlight w:val="none"/>
              </w:rPr>
              <w:t>202</w:t>
            </w:r>
            <w:r>
              <w:rPr>
                <w:rFonts w:ascii="宋体" w:hAnsi="宋体"/>
                <w:b/>
                <w:bCs/>
                <w:color w:val="FF0000"/>
                <w:szCs w:val="21"/>
                <w:highlight w:val="none"/>
              </w:rPr>
              <w:t>6</w:t>
            </w:r>
            <w:r>
              <w:rPr>
                <w:rFonts w:hint="eastAsia" w:ascii="宋体" w:hAnsi="宋体"/>
                <w:b/>
                <w:bCs/>
                <w:color w:val="FF0000"/>
                <w:szCs w:val="21"/>
                <w:highlight w:val="none"/>
              </w:rPr>
              <w:t>年</w:t>
            </w:r>
            <w:r>
              <w:rPr>
                <w:rFonts w:hint="eastAsia" w:ascii="宋体" w:hAnsi="宋体"/>
                <w:b/>
                <w:bCs/>
                <w:color w:val="FF0000"/>
                <w:szCs w:val="21"/>
                <w:highlight w:val="none"/>
                <w:lang w:val="en-US" w:eastAsia="zh-CN"/>
              </w:rPr>
              <w:t>7</w:t>
            </w:r>
            <w:r>
              <w:rPr>
                <w:rFonts w:hint="eastAsia" w:ascii="宋体" w:hAnsi="宋体"/>
                <w:b/>
                <w:bCs/>
                <w:color w:val="FF0000"/>
                <w:szCs w:val="21"/>
                <w:highlight w:val="none"/>
              </w:rPr>
              <w:t>月</w:t>
            </w:r>
            <w:r>
              <w:rPr>
                <w:rFonts w:hint="eastAsia" w:ascii="宋体" w:hAnsi="宋体"/>
                <w:b/>
                <w:bCs/>
                <w:color w:val="FF0000"/>
                <w:szCs w:val="21"/>
                <w:highlight w:val="none"/>
                <w:lang w:val="en-US" w:eastAsia="zh-CN"/>
              </w:rPr>
              <w:t>20</w:t>
            </w:r>
            <w:r>
              <w:rPr>
                <w:rFonts w:hint="eastAsia" w:ascii="宋体" w:hAnsi="宋体"/>
                <w:b/>
                <w:bCs/>
                <w:color w:val="FF0000"/>
                <w:szCs w:val="21"/>
                <w:highlight w:val="none"/>
              </w:rPr>
              <w:t>日</w:t>
            </w:r>
            <w:r>
              <w:rPr>
                <w:rFonts w:ascii="宋体" w:hAnsi="宋体"/>
                <w:b/>
                <w:bCs/>
                <w:color w:val="FF0000"/>
                <w:szCs w:val="21"/>
                <w:highlight w:val="none"/>
              </w:rPr>
              <w:t xml:space="preserve">  </w:t>
            </w:r>
            <w:r>
              <w:rPr>
                <w:rFonts w:hint="eastAsia" w:ascii="宋体" w:hAnsi="宋体"/>
                <w:b/>
                <w:bCs/>
                <w:color w:val="FF0000"/>
                <w:szCs w:val="21"/>
                <w:highlight w:val="none"/>
                <w:lang w:val="en-US" w:eastAsia="zh-CN"/>
              </w:rPr>
              <w:t>17:00</w:t>
            </w:r>
          </w:p>
        </w:tc>
      </w:tr>
      <w:tr w14:paraId="501E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93" w:type="pct"/>
            <w:tcBorders>
              <w:top w:val="single" w:color="auto" w:sz="4" w:space="0"/>
              <w:left w:val="single" w:color="auto" w:sz="4" w:space="0"/>
              <w:bottom w:val="single" w:color="auto" w:sz="4" w:space="0"/>
              <w:right w:val="single" w:color="auto" w:sz="4" w:space="0"/>
            </w:tcBorders>
            <w:vAlign w:val="center"/>
          </w:tcPr>
          <w:p w14:paraId="0CC864DA">
            <w:pPr>
              <w:spacing w:line="360" w:lineRule="auto"/>
              <w:jc w:val="center"/>
              <w:rPr>
                <w:rFonts w:ascii="宋体" w:hAnsi="宋体"/>
                <w:szCs w:val="21"/>
              </w:rPr>
            </w:pPr>
            <w:r>
              <w:rPr>
                <w:rFonts w:hint="eastAsia" w:ascii="宋体" w:hAnsi="宋体"/>
                <w:szCs w:val="21"/>
              </w:rPr>
              <w:t>文件递交地址</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7ED1C27A">
            <w:pPr>
              <w:spacing w:line="360" w:lineRule="auto"/>
              <w:rPr>
                <w:rFonts w:ascii="宋体" w:hAnsi="宋体"/>
                <w:szCs w:val="21"/>
                <w:highlight w:val="none"/>
              </w:rPr>
            </w:pPr>
            <w:r>
              <w:rPr>
                <w:rFonts w:hint="eastAsia" w:ascii="宋体" w:hAnsi="宋体"/>
                <w:szCs w:val="21"/>
                <w:highlight w:val="none"/>
              </w:rPr>
              <w:t>扬大附院西区行政楼40</w:t>
            </w:r>
            <w:r>
              <w:rPr>
                <w:rFonts w:hint="eastAsia" w:ascii="宋体" w:hAnsi="宋体"/>
                <w:szCs w:val="21"/>
                <w:highlight w:val="none"/>
                <w:lang w:val="en-US" w:eastAsia="zh-CN"/>
              </w:rPr>
              <w:t>6</w:t>
            </w:r>
            <w:r>
              <w:rPr>
                <w:rFonts w:hint="eastAsia" w:ascii="宋体" w:hAnsi="宋体"/>
                <w:szCs w:val="21"/>
                <w:highlight w:val="none"/>
              </w:rPr>
              <w:t>办公室</w:t>
            </w:r>
          </w:p>
        </w:tc>
      </w:tr>
      <w:tr w14:paraId="4B90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47C018ED">
            <w:pPr>
              <w:spacing w:line="360" w:lineRule="auto"/>
              <w:jc w:val="center"/>
              <w:rPr>
                <w:rFonts w:ascii="宋体" w:hAnsi="宋体" w:eastAsia="微软雅黑"/>
                <w:szCs w:val="21"/>
              </w:rPr>
            </w:pPr>
            <w:r>
              <w:rPr>
                <w:rFonts w:hint="eastAsia" w:ascii="宋体" w:hAnsi="宋体"/>
                <w:szCs w:val="21"/>
              </w:rPr>
              <w:t>谈判时间</w:t>
            </w:r>
          </w:p>
        </w:tc>
        <w:tc>
          <w:tcPr>
            <w:tcW w:w="1695" w:type="pct"/>
            <w:gridSpan w:val="2"/>
            <w:tcBorders>
              <w:top w:val="single" w:color="auto" w:sz="4" w:space="0"/>
              <w:left w:val="single" w:color="auto" w:sz="4" w:space="0"/>
              <w:bottom w:val="single" w:color="auto" w:sz="4" w:space="0"/>
              <w:right w:val="single" w:color="auto" w:sz="4" w:space="0"/>
            </w:tcBorders>
            <w:vAlign w:val="center"/>
          </w:tcPr>
          <w:p w14:paraId="2F89139D">
            <w:pPr>
              <w:spacing w:line="360" w:lineRule="auto"/>
              <w:jc w:val="center"/>
              <w:rPr>
                <w:rFonts w:ascii="宋体" w:hAnsi="宋体"/>
                <w:b/>
                <w:szCs w:val="21"/>
                <w:highlight w:val="none"/>
              </w:rPr>
            </w:pPr>
            <w:r>
              <w:rPr>
                <w:rFonts w:hint="eastAsia" w:ascii="宋体" w:hAnsi="宋体"/>
                <w:b w:val="0"/>
                <w:bCs w:val="0"/>
                <w:szCs w:val="21"/>
                <w:highlight w:val="none"/>
                <w:lang w:val="en-US" w:eastAsia="zh-CN"/>
              </w:rPr>
              <w:t>另行通知</w:t>
            </w:r>
            <w:r>
              <w:rPr>
                <w:rFonts w:ascii="宋体" w:hAnsi="宋体"/>
                <w:b w:val="0"/>
                <w:bCs w:val="0"/>
                <w:szCs w:val="21"/>
                <w:highlight w:val="none"/>
              </w:rPr>
              <w:t xml:space="preserve"> </w:t>
            </w: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38C24DDF">
            <w:pPr>
              <w:spacing w:line="360" w:lineRule="auto"/>
              <w:jc w:val="center"/>
              <w:rPr>
                <w:rFonts w:ascii="宋体" w:hAnsi="宋体"/>
                <w:szCs w:val="21"/>
                <w:highlight w:val="none"/>
              </w:rPr>
            </w:pPr>
            <w:r>
              <w:rPr>
                <w:rFonts w:hint="eastAsia" w:ascii="宋体" w:hAnsi="宋体"/>
                <w:szCs w:val="21"/>
                <w:highlight w:val="none"/>
                <w:lang w:val="en-US" w:eastAsia="zh-CN"/>
              </w:rPr>
              <w:t>谈判</w:t>
            </w:r>
            <w:r>
              <w:rPr>
                <w:rFonts w:hint="eastAsia" w:ascii="宋体" w:hAnsi="宋体"/>
                <w:szCs w:val="21"/>
                <w:highlight w:val="none"/>
              </w:rPr>
              <w:t>地点</w:t>
            </w:r>
          </w:p>
        </w:tc>
        <w:tc>
          <w:tcPr>
            <w:tcW w:w="1772" w:type="pct"/>
            <w:tcBorders>
              <w:top w:val="single" w:color="auto" w:sz="4" w:space="0"/>
              <w:left w:val="single" w:color="auto" w:sz="4" w:space="0"/>
              <w:bottom w:val="single" w:color="auto" w:sz="4" w:space="0"/>
              <w:right w:val="single" w:color="auto" w:sz="4" w:space="0"/>
            </w:tcBorders>
            <w:vAlign w:val="center"/>
          </w:tcPr>
          <w:p w14:paraId="113223B4">
            <w:pPr>
              <w:spacing w:line="360" w:lineRule="auto"/>
              <w:jc w:val="center"/>
              <w:rPr>
                <w:rFonts w:ascii="宋体" w:hAnsi="宋体"/>
                <w:szCs w:val="21"/>
                <w:highlight w:val="none"/>
              </w:rPr>
            </w:pPr>
            <w:r>
              <w:rPr>
                <w:rFonts w:hint="eastAsia" w:ascii="宋体" w:hAnsi="宋体"/>
                <w:b/>
                <w:szCs w:val="21"/>
                <w:highlight w:val="none"/>
              </w:rPr>
              <w:t>扬大附院西区行政楼407会议室</w:t>
            </w:r>
          </w:p>
        </w:tc>
      </w:tr>
      <w:tr w14:paraId="5F1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7F98B331">
            <w:pPr>
              <w:spacing w:line="360" w:lineRule="auto"/>
              <w:jc w:val="center"/>
              <w:rPr>
                <w:rFonts w:ascii="宋体" w:hAnsi="宋体"/>
                <w:szCs w:val="21"/>
              </w:rPr>
            </w:pPr>
            <w:r>
              <w:rPr>
                <w:rFonts w:hint="eastAsia" w:ascii="宋体" w:hAnsi="宋体"/>
                <w:szCs w:val="21"/>
              </w:rPr>
              <w:t>联系方式</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1F6A18">
            <w:pPr>
              <w:adjustRightInd w:val="0"/>
              <w:snapToGrid w:val="0"/>
              <w:spacing w:line="360" w:lineRule="auto"/>
              <w:contextualSpacing/>
              <w:rPr>
                <w:rFonts w:hint="default" w:ascii="宋体" w:hAnsi="宋体" w:eastAsia="宋体" w:cs="宋体"/>
                <w:snapToGrid w:val="0"/>
                <w:szCs w:val="21"/>
                <w:highlight w:val="none"/>
                <w:lang w:val="en-US" w:eastAsia="zh-CN"/>
              </w:rPr>
            </w:pPr>
            <w:r>
              <w:rPr>
                <w:rFonts w:hint="eastAsia" w:ascii="宋体" w:hAnsi="宋体" w:cs="宋体"/>
                <w:snapToGrid w:val="0"/>
                <w:szCs w:val="21"/>
                <w:highlight w:val="none"/>
              </w:rPr>
              <w:t>联系人：</w:t>
            </w:r>
            <w:r>
              <w:rPr>
                <w:rFonts w:hint="eastAsia" w:ascii="宋体" w:hAnsi="宋体" w:cs="宋体"/>
                <w:snapToGrid w:val="0"/>
                <w:szCs w:val="21"/>
                <w:highlight w:val="none"/>
                <w:lang w:val="en-US" w:eastAsia="zh-CN"/>
              </w:rPr>
              <w:t>周</w:t>
            </w:r>
            <w:r>
              <w:rPr>
                <w:rFonts w:hint="eastAsia" w:ascii="宋体" w:hAnsi="宋体" w:cs="宋体"/>
                <w:snapToGrid w:val="0"/>
                <w:szCs w:val="21"/>
                <w:highlight w:val="none"/>
              </w:rPr>
              <w:t>老师   联系电话：0514-8</w:t>
            </w:r>
            <w:r>
              <w:rPr>
                <w:rFonts w:hint="eastAsia" w:ascii="宋体" w:hAnsi="宋体" w:cs="宋体"/>
                <w:snapToGrid w:val="0"/>
                <w:szCs w:val="21"/>
                <w:highlight w:val="none"/>
                <w:lang w:val="en-US" w:eastAsia="zh-CN"/>
              </w:rPr>
              <w:t>0319750</w:t>
            </w:r>
          </w:p>
          <w:p w14:paraId="7035E7F8">
            <w:pPr>
              <w:adjustRightInd w:val="0"/>
              <w:snapToGrid w:val="0"/>
              <w:spacing w:line="360" w:lineRule="auto"/>
              <w:contextualSpacing/>
              <w:rPr>
                <w:rFonts w:ascii="宋体" w:hAnsi="宋体" w:cs="宋体"/>
                <w:snapToGrid w:val="0"/>
                <w:szCs w:val="21"/>
                <w:highlight w:val="none"/>
              </w:rPr>
            </w:pPr>
            <w:r>
              <w:rPr>
                <w:rFonts w:hint="eastAsia" w:ascii="宋体" w:hAnsi="宋体" w:cs="宋体"/>
                <w:snapToGrid w:val="0"/>
                <w:szCs w:val="21"/>
                <w:highlight w:val="none"/>
              </w:rPr>
              <w:t>地址：扬大附院西区行政楼40</w:t>
            </w:r>
            <w:r>
              <w:rPr>
                <w:rFonts w:hint="eastAsia" w:ascii="宋体" w:hAnsi="宋体" w:cs="宋体"/>
                <w:snapToGrid w:val="0"/>
                <w:szCs w:val="21"/>
                <w:highlight w:val="none"/>
                <w:lang w:val="en-US" w:eastAsia="zh-CN"/>
              </w:rPr>
              <w:t>6</w:t>
            </w:r>
            <w:r>
              <w:rPr>
                <w:rFonts w:hint="eastAsia" w:ascii="宋体" w:hAnsi="宋体" w:cs="宋体"/>
                <w:snapToGrid w:val="0"/>
                <w:szCs w:val="21"/>
                <w:highlight w:val="none"/>
              </w:rPr>
              <w:t>办公室</w:t>
            </w:r>
          </w:p>
        </w:tc>
      </w:tr>
      <w:tr w14:paraId="3625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293AA6AC">
            <w:pPr>
              <w:spacing w:line="360" w:lineRule="auto"/>
              <w:jc w:val="center"/>
              <w:rPr>
                <w:rFonts w:ascii="宋体" w:hAnsi="宋体"/>
                <w:szCs w:val="21"/>
              </w:rPr>
            </w:pPr>
            <w:r>
              <w:rPr>
                <w:rFonts w:hint="eastAsia" w:ascii="宋体" w:hAnsi="宋体"/>
                <w:szCs w:val="21"/>
              </w:rPr>
              <w:t>备注</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4A18D812">
            <w:pPr>
              <w:spacing w:line="360" w:lineRule="auto"/>
              <w:jc w:val="left"/>
              <w:rPr>
                <w:rFonts w:ascii="宋体" w:hAnsi="宋体" w:cs="宋体"/>
                <w:szCs w:val="21"/>
              </w:rPr>
            </w:pPr>
            <w:r>
              <w:rPr>
                <w:rFonts w:hint="eastAsia" w:ascii="宋体" w:hAnsi="宋体" w:cs="宋体"/>
                <w:b w:val="0"/>
                <w:bCs w:val="0"/>
                <w:szCs w:val="21"/>
                <w:lang w:val="en-US" w:eastAsia="zh-CN"/>
              </w:rPr>
              <w:t>本项目不允许分包、转包，不接受联合体投标；</w:t>
            </w:r>
            <w:r>
              <w:rPr>
                <w:rFonts w:hint="eastAsia" w:ascii="宋体" w:hAnsi="宋体" w:cs="宋体"/>
                <w:b w:val="0"/>
                <w:bCs w:val="0"/>
                <w:szCs w:val="21"/>
              </w:rPr>
              <w:t>未提供格式的投标人自拟。</w:t>
            </w:r>
          </w:p>
        </w:tc>
      </w:tr>
    </w:tbl>
    <w:p w14:paraId="6A971983">
      <w:pPr>
        <w:ind w:firstLine="4176" w:firstLineChars="1300"/>
        <w:rPr>
          <w:b/>
          <w:sz w:val="32"/>
          <w:szCs w:val="32"/>
        </w:rPr>
      </w:pPr>
      <w:bookmarkStart w:id="2" w:name="_Toc39744253"/>
    </w:p>
    <w:p w14:paraId="41BAAF00">
      <w:pPr>
        <w:ind w:firstLine="4176" w:firstLineChars="1300"/>
        <w:rPr>
          <w:b/>
          <w:sz w:val="32"/>
          <w:szCs w:val="32"/>
        </w:rPr>
      </w:pPr>
    </w:p>
    <w:p w14:paraId="31D868DE">
      <w:pPr>
        <w:ind w:firstLine="4176" w:firstLineChars="1300"/>
        <w:rPr>
          <w:b/>
          <w:sz w:val="32"/>
          <w:szCs w:val="32"/>
        </w:rPr>
      </w:pPr>
    </w:p>
    <w:p w14:paraId="563BECA1">
      <w:pPr>
        <w:ind w:firstLine="4176" w:firstLineChars="1300"/>
        <w:rPr>
          <w:b/>
          <w:sz w:val="32"/>
          <w:szCs w:val="32"/>
        </w:rPr>
      </w:pPr>
    </w:p>
    <w:p w14:paraId="53F1D07A">
      <w:pPr>
        <w:ind w:firstLine="4176" w:firstLineChars="1300"/>
        <w:rPr>
          <w:b/>
          <w:sz w:val="32"/>
          <w:szCs w:val="32"/>
        </w:rPr>
      </w:pPr>
    </w:p>
    <w:p w14:paraId="7ED7B90D">
      <w:pPr>
        <w:ind w:firstLine="4176" w:firstLineChars="1300"/>
        <w:rPr>
          <w:b/>
          <w:sz w:val="32"/>
          <w:szCs w:val="32"/>
        </w:rPr>
      </w:pPr>
    </w:p>
    <w:p w14:paraId="34E314AB">
      <w:pPr>
        <w:ind w:firstLine="4176" w:firstLineChars="1300"/>
        <w:rPr>
          <w:b/>
          <w:sz w:val="32"/>
          <w:szCs w:val="32"/>
        </w:rPr>
      </w:pPr>
    </w:p>
    <w:p w14:paraId="069CC229">
      <w:pPr>
        <w:ind w:firstLine="4176" w:firstLineChars="1300"/>
        <w:rPr>
          <w:b/>
          <w:sz w:val="32"/>
          <w:szCs w:val="32"/>
        </w:rPr>
      </w:pPr>
    </w:p>
    <w:p w14:paraId="46D150CC">
      <w:pPr>
        <w:ind w:firstLine="4176" w:firstLineChars="1300"/>
        <w:rPr>
          <w:b/>
          <w:sz w:val="32"/>
          <w:szCs w:val="32"/>
        </w:rPr>
      </w:pPr>
    </w:p>
    <w:p w14:paraId="67157AE6">
      <w:pPr>
        <w:pStyle w:val="28"/>
      </w:pPr>
    </w:p>
    <w:p w14:paraId="2C9BD5C1">
      <w:pPr>
        <w:jc w:val="center"/>
        <w:rPr>
          <w:rFonts w:ascii="宋体" w:hAnsi="宋体"/>
          <w:b/>
          <w:color w:val="000000" w:themeColor="text1"/>
          <w:sz w:val="32"/>
          <w:szCs w:val="32"/>
          <w14:textFill>
            <w14:solidFill>
              <w14:schemeClr w14:val="tx1"/>
            </w14:solidFill>
          </w14:textFill>
        </w:rPr>
      </w:pPr>
      <w:r>
        <w:rPr>
          <w:rFonts w:hint="eastAsia"/>
          <w:b/>
          <w:sz w:val="32"/>
          <w:szCs w:val="32"/>
        </w:rPr>
        <w:t>二、项目需求</w:t>
      </w:r>
    </w:p>
    <w:p w14:paraId="6EEEE969">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一、项目总则</w:t>
      </w:r>
    </w:p>
    <w:p w14:paraId="5E7D60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（一）编制依据</w:t>
      </w:r>
    </w:p>
    <w:p w14:paraId="0AEFA6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本报告依据国家税务总局《关于进一步深化税收征管改革的意见》、江苏省卫生健康委员会《苏卫财务〔2026〕15 号》文件、《行政事业单位内部控制规范（试行）》《公立医院内部控制管理办法》，结合医院税务财务管理、内控管理、信息化建设实际要求编制，旨在规范查验发票全流程管理，实现发票管理信息化、规范化、精细化。</w:t>
      </w:r>
    </w:p>
    <w:p w14:paraId="26CE6D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（二）项目建设背景</w:t>
      </w:r>
    </w:p>
    <w:p w14:paraId="5853F2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随着数电发票全面推广、税收征管数字化升级，传统人工发票录入、查验、归档、台账管理模式效率低、风险高，存在发票查重难、真伪核验滞后、数电发票被恶意红冲、税务入账不规范、数据无法高效统计分析等问题。同时，医院现有各业务系统相互独立，发票数据无法互通，财务、费控、OA 等流程衔接不畅，不符合公立医院内控及税务管理要求。</w:t>
      </w:r>
    </w:p>
    <w:p w14:paraId="277F7D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为落实财税及卫健部门管理规定，补齐发票管理短板，防范税务风险，提升财务工作效率，我院决定部署查验发票管理平台，搭建统一发票数据池，打通各业务系统数据链路，构建全流程、全票种、全生命周期的发票管理体系。</w:t>
      </w:r>
    </w:p>
    <w:p w14:paraId="610CAA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（三）建设目标</w:t>
      </w:r>
    </w:p>
    <w:p w14:paraId="3DFD9B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数据集中管控：搭建医院统一发票池，实现进项、销项、费用类等全票种发票数据结构化采集、存储、管理，统一归集全院发票数据。</w:t>
      </w:r>
    </w:p>
    <w:p w14:paraId="453B9F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流程智能提效：支持多终端、多设备快速采集发票，自动完成查验、查重、合规校验，简化财务填报与审批流程。</w:t>
      </w:r>
    </w:p>
    <w:p w14:paraId="1B67C8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风险全面防控：实现发票真伪、重复、合规性自动校验，建立数电发票防恶意红冲机制，规范税务入账，支持进项税额转出管理，降低税务风险。</w:t>
      </w:r>
    </w:p>
    <w:p w14:paraId="777D9E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系统互联互通：提供标准接口，与医院信息系统、费控系统、财务系统、物资系统等无缝对接，实现数据双向流转、状态同步。</w:t>
      </w:r>
    </w:p>
    <w:p w14:paraId="292A05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运维安全可靠：平台满足高并发、高性能运行要求，构建全维度安全体系，符合网络安全等级保护三级及以上标准，保障数据与系统稳定运行。</w:t>
      </w:r>
    </w:p>
    <w:p w14:paraId="4C2B9C0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6.</w:t>
      </w:r>
      <w:r>
        <w:rPr>
          <w:rFonts w:hint="eastAsia" w:asciiTheme="majorEastAsia" w:hAnsiTheme="majorEastAsia" w:eastAsiaTheme="majorEastAsia" w:cstheme="majorEastAsia"/>
          <w:sz w:val="24"/>
          <w:szCs w:val="24"/>
        </w:rPr>
        <w:t>可持续扩展：采用标准化、可扩展架构，支持后续单位大系统更换、电子档案、税务管理等功能模块拓展，适配未来财税政策及业务变化。</w:t>
      </w:r>
    </w:p>
    <w:p w14:paraId="400E5785">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二、总体功能需求</w:t>
      </w:r>
    </w:p>
    <w:p w14:paraId="014057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本平台采用私有化部署模式，围绕发票池管理、发票采集录入、发票查验查重、税务入账、进项税转出、查询统计、系统对接、系统管理八大核心模块设计功能，覆盖发票全生命周期管理。</w:t>
      </w:r>
    </w:p>
    <w:p w14:paraId="1C571C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（一）查验发票池管理</w:t>
      </w:r>
    </w:p>
    <w:p w14:paraId="54DFEC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全量数据同步：通过税务直连接口对接税务系统，自动同步医院历史、当月全量进销项发票数据，查验通过后自动归集至发票池。</w:t>
      </w:r>
    </w:p>
    <w:p w14:paraId="2D93B6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分类管理：按照发票类型、业务类别、归属部门等维度，对查验发票进行分类、分组管理。</w:t>
      </w:r>
    </w:p>
    <w:p w14:paraId="16BB4C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多字段展示：支持展示发票类型、发票状态、管理状态、补全状态、查验状态、审核状态、报销状态、签收状态等全维度业务字段。</w:t>
      </w:r>
    </w:p>
    <w:p w14:paraId="2A79D8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多格式数据展示：支持发票基础字段信息、影像图片、PDF 版式文件、电子凭证在线预览查看。</w:t>
      </w:r>
    </w:p>
    <w:p w14:paraId="1F72805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文件生成与导出：支持数电发票、常规电子发票反向生成版式文件；实现版式文件、电子凭证批量下载，发票主数据、明细数据批量导出。</w:t>
      </w:r>
    </w:p>
    <w:p w14:paraId="06B1353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6.</w:t>
      </w:r>
      <w:r>
        <w:rPr>
          <w:rFonts w:hint="eastAsia" w:asciiTheme="majorEastAsia" w:hAnsiTheme="majorEastAsia" w:eastAsiaTheme="majorEastAsia" w:cstheme="majorEastAsia"/>
          <w:sz w:val="24"/>
          <w:szCs w:val="24"/>
        </w:rPr>
        <w:t>接口支撑：提供标准化对外接口，支撑与院内其他业务系统的数据交互。</w:t>
      </w:r>
    </w:p>
    <w:p w14:paraId="575227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（二）发票采集与录入</w:t>
      </w:r>
    </w:p>
    <w:p w14:paraId="05CD30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支持PC 端、移动端双端采集，兼容多种硬件设备，实现发票快速录入：</w:t>
      </w:r>
    </w:p>
    <w:p w14:paraId="2BC86AD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硬件采集：适配扫码枪、扫描仪，一键扫描纸质发票完成信息录入。</w:t>
      </w:r>
    </w:p>
    <w:p w14:paraId="42B89E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PC 端采集：支持上传发票图片、PDF 等影像文件，完成发票及附件信息采集。</w:t>
      </w:r>
    </w:p>
    <w:p w14:paraId="3F9B70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移动端采集：支持手机拍照、上传影像文件，随时随地完成发票及附件采集，满足移动办公需求。</w:t>
      </w:r>
    </w:p>
    <w:p w14:paraId="49496F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（三）发票查验与查重</w:t>
      </w:r>
    </w:p>
    <w:p w14:paraId="213F9F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自动核验：系统自动完成发票真伪查验、重复查重，可根据医院内控要求自定义合规性校验规则。</w:t>
      </w:r>
    </w:p>
    <w:p w14:paraId="20E862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查验报告：查验完成后自动生成官方查验报告（查验凭证），支持留存、下载、打印。</w:t>
      </w:r>
    </w:p>
    <w:p w14:paraId="0E1E7D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OCR 智能识别：对上传的图片、PDF 发票进行 OCR 文字识别，自动生成结构化数据，同时留存原始影像文件，支持原件预览。</w:t>
      </w:r>
    </w:p>
    <w:p w14:paraId="42C2BFD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系统无缝调用：可嵌入医院 OA、费用控制系统，实现流程内直接调用发票查验功能。</w:t>
      </w:r>
    </w:p>
    <w:p w14:paraId="4445A6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（四）税务入账与入账中心</w:t>
      </w:r>
    </w:p>
    <w:p w14:paraId="3F233D1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数电发票专项管控：提供数电发票专属税务入账标准接口，建立风险拦截机制，防范供应商恶意红冲数电发票。</w:t>
      </w:r>
    </w:p>
    <w:p w14:paraId="45EBF3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入账状态同步：提供统一标准入账接口，发票完成税务入账后，自动同步更新查验发票池、全量票据池内票据入账状态。</w:t>
      </w:r>
    </w:p>
    <w:p w14:paraId="07E756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（五）信息推送</w:t>
      </w:r>
    </w:p>
    <w:p w14:paraId="50FE74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支持将发票影像、附件、OCR 识别文本等信息，通过标准接口主动推送至院内相关业务系统，实现数据共享。</w:t>
      </w:r>
    </w:p>
    <w:p w14:paraId="4CD77B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（六）税务信息管理</w:t>
      </w:r>
    </w:p>
    <w:p w14:paraId="019FA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支持同步医院自身税务基础信息，统一维护税务档案，保障发票开具、认证、入账等业务基础信息准确。</w:t>
      </w:r>
    </w:p>
    <w:p w14:paraId="657A8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（七）查询统计分析</w:t>
      </w:r>
    </w:p>
    <w:p w14:paraId="2998DE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提供多维度组合查询、可视化统计分析功能，可按发票时间、类型、状态、部门、金额等条件筛选数据，自动生成发票台账、统计报表，支持报表导出。</w:t>
      </w:r>
    </w:p>
    <w:p w14:paraId="689873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（八）进项税转出管理</w:t>
      </w:r>
    </w:p>
    <w:p w14:paraId="3B8FFE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覆盖全场景进项税额转出业务：</w:t>
      </w:r>
    </w:p>
    <w:p w14:paraId="1E2064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支持有票转出、无票转出两种模式，对已勾选认证的异常发票快速发起税额转出。</w:t>
      </w:r>
    </w:p>
    <w:p w14:paraId="5BB998B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支持单笔转出、批量转出、系统自动转出，适配医院财务业务场景。</w:t>
      </w:r>
    </w:p>
    <w:p w14:paraId="7A248C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（九）功能拓展</w:t>
      </w:r>
    </w:p>
    <w:p w14:paraId="6733E8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平台预留功能接口与数据架构，支持后期拓展电子档案、税务申报、票据归档等增值模块。</w:t>
      </w:r>
    </w:p>
    <w:p w14:paraId="4D7546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（十）系统基础管理</w:t>
      </w:r>
    </w:p>
    <w:p w14:paraId="271C79C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数据备份恢复：具备全系统数据、配置参数自动 / 手动备份能力，支持故障后快速恢复，防止数据丢失。</w:t>
      </w:r>
    </w:p>
    <w:p w14:paraId="0A79870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基础配置：支持参数配置、台账规则自定义，适配税法及院内管理制度调整。</w:t>
      </w:r>
    </w:p>
    <w:p w14:paraId="733D5A40">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三、技术架构与性能需求</w:t>
      </w:r>
    </w:p>
    <w:p w14:paraId="13BC33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（一）总体技术架构</w:t>
      </w:r>
    </w:p>
    <w:p w14:paraId="36021F6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架构体系：采用SOA 面向服务架构+ B/S 浏览器架构，搭建可插拔、开放式技术体系，遵循 J2EE 开发规范，业务逻辑与技术实现分离。</w:t>
      </w:r>
    </w:p>
    <w:p w14:paraId="0A7C79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技术组件：基于 XML 服务总线搭建数据总线，提供平台级维护、应用集成、参数配置、日常管理等基础服务。</w:t>
      </w:r>
    </w:p>
    <w:p w14:paraId="644A58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 xml:space="preserve">分层设计 </w:t>
      </w:r>
    </w:p>
    <w:p w14:paraId="090C1A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数据层：按业务分层设计，基础服务层提供底层支撑，业务层支持灵活二次开发；接口层：分层 API 接口设计，提供完整接口文档，支持现有及未来外围系统集成。</w:t>
      </w:r>
    </w:p>
    <w:p w14:paraId="306709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 xml:space="preserve">架构特性 </w:t>
      </w:r>
    </w:p>
    <w:p w14:paraId="399277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前瞻性：快速适配数电发票、税务新政等新业务、新要求；可扩展性：统一封装业务变化节点，预留二次开发接口，支持模块新增、功能迭代；灵活性：通过参数配置、可视化台账定义，快速响应税法、院内制度变更；可移植性：符合 J2EE 规范，可在 Tomcat、JBoss、Weblogic 等主流应用服务器直接部署使用。</w:t>
      </w:r>
    </w:p>
    <w:p w14:paraId="430AD1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（二）系统性能指标</w:t>
      </w:r>
    </w:p>
    <w:p w14:paraId="110E80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平台需满足医院大规模用户、高并发、大数据量运行要求，具体指标如下：</w:t>
      </w:r>
    </w:p>
    <w:p w14:paraId="746E26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并发能力：稳定支撑1000 个授权用户、100 个并发用户同时操作，PC 端、移动端可同步正常访问。</w:t>
      </w:r>
    </w:p>
    <w:p w14:paraId="40D2A91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 xml:space="preserve">响应速度 </w:t>
      </w:r>
    </w:p>
    <w:p w14:paraId="7F1AA4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系统登录响应时间≤3 秒；基础业务操作响应时间≤4 秒；并发≤200 人：界面响应＜3 秒；200＜并发≤500 人：界面响应＜5 秒；并发＞500 人：界面响应＜7 秒。</w:t>
      </w:r>
    </w:p>
    <w:p w14:paraId="3C2F71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 xml:space="preserve">运行稳定性 </w:t>
      </w:r>
    </w:p>
    <w:p w14:paraId="534B3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全年 7×24 小时不间断运行，除定期维护、数据备份外，年度影响使用故障≤3 次，系统宕机故障≤1 次；具备容错、抗干扰能力，软件故障不会触发系统强制重启，输入异常数据可自动拦截、提示。</w:t>
      </w:r>
    </w:p>
    <w:p w14:paraId="08C4C68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大数据适配：数据量持续增长后，系统性能无明显下降；若性能衰减，需提供专项优化解决方案。</w:t>
      </w:r>
    </w:p>
    <w:p w14:paraId="0000CD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运行架构：采用多线程、多用户架构，适配多人同时操作场景。</w:t>
      </w:r>
    </w:p>
    <w:p w14:paraId="39CE46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（三）部署架构要求</w:t>
      </w:r>
    </w:p>
    <w:p w14:paraId="396E80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部署模式：采用私有化部署，基于分布式开源平台架构，支持私有云部署，可根据业务负载弹性伸缩。</w:t>
      </w:r>
    </w:p>
    <w:p w14:paraId="5F48969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 xml:space="preserve">存储架构 </w:t>
      </w:r>
    </w:p>
    <w:p w14:paraId="367E272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文件存储：</w:t>
      </w:r>
      <w:r>
        <w:rPr>
          <w:rFonts w:hint="eastAsia" w:asciiTheme="majorEastAsia" w:hAnsiTheme="majorEastAsia" w:eastAsiaTheme="majorEastAsia" w:cstheme="majorEastAsia"/>
          <w:sz w:val="24"/>
          <w:szCs w:val="24"/>
        </w:rPr>
        <w:t>采用分布式文件系统，支持多副本、多机房节点部署，可自定义容灾等级；</w:t>
      </w:r>
      <w:r>
        <w:rPr>
          <w:rFonts w:hint="eastAsia" w:asciiTheme="majorEastAsia" w:hAnsiTheme="majorEastAsia" w:eastAsiaTheme="majorEastAsia" w:cstheme="majorEastAsia"/>
          <w:b/>
          <w:bCs/>
          <w:sz w:val="24"/>
          <w:szCs w:val="24"/>
        </w:rPr>
        <w:t>数据库</w:t>
      </w:r>
      <w:r>
        <w:rPr>
          <w:rFonts w:hint="eastAsia" w:asciiTheme="majorEastAsia" w:hAnsiTheme="majorEastAsia" w:eastAsiaTheme="majorEastAsia" w:cstheme="majorEastAsia"/>
          <w:sz w:val="24"/>
          <w:szCs w:val="24"/>
        </w:rPr>
        <w:t>：采用主 - 从 - 备架构，支持双主多从多备、跨机房部署，保障数据高可用；</w:t>
      </w:r>
      <w:r>
        <w:rPr>
          <w:rFonts w:hint="eastAsia" w:asciiTheme="majorEastAsia" w:hAnsiTheme="majorEastAsia" w:eastAsiaTheme="majorEastAsia" w:cstheme="majorEastAsia"/>
          <w:b/>
          <w:bCs/>
          <w:sz w:val="24"/>
          <w:szCs w:val="24"/>
        </w:rPr>
        <w:t>业务服务</w:t>
      </w:r>
      <w:r>
        <w:rPr>
          <w:rFonts w:hint="eastAsia" w:asciiTheme="majorEastAsia" w:hAnsiTheme="majorEastAsia" w:eastAsiaTheme="majorEastAsia" w:cstheme="majorEastAsia"/>
          <w:sz w:val="24"/>
          <w:szCs w:val="24"/>
        </w:rPr>
        <w:t>：服务节点集群化、高可用部署，支持多机房分布式部署。</w:t>
      </w:r>
    </w:p>
    <w:p w14:paraId="20B20E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迁移能力：架构具备良好迁移性，可快速向其他部署环境迁移。</w:t>
      </w:r>
    </w:p>
    <w:p w14:paraId="69E877E0">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四、系统安全需求</w:t>
      </w:r>
    </w:p>
    <w:p w14:paraId="164BC5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平台需构建物理安全、应用安全、数据安全、网络安全一体化防护体系，全面满足网络安全等级保护三级及以上要求。</w:t>
      </w:r>
    </w:p>
    <w:p w14:paraId="73E307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（一）权限与身份认证</w:t>
      </w:r>
    </w:p>
    <w:p w14:paraId="67AC257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多级权限管控：从组织架构、岗位、职级、功能模块多维度划分操作权限，实现精细化权限隔离，系统管理员无权越权查看业务数据。</w:t>
      </w:r>
    </w:p>
    <w:p w14:paraId="522617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多方式身份认证：支持用户名密码、域用户、SSO 单点登录等认证方式，可集成动态口令认证。</w:t>
      </w:r>
    </w:p>
    <w:p w14:paraId="1A5BB33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账号密码管控：强制设置密码复杂度、长度、有效期，要求首次登录修改初始密码；密码连续输错自动锁定账号，记录错误登录客户端信息，禁止弱口令账号。</w:t>
      </w:r>
    </w:p>
    <w:p w14:paraId="4AF709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登录管控：同一账号仅允许单端登录，异地登录自动注销已有会话；支持文档防另存、防拷贝、防打印、操作痕迹留存。</w:t>
      </w:r>
    </w:p>
    <w:p w14:paraId="023B94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（二）多层安全防护</w:t>
      </w:r>
    </w:p>
    <w:p w14:paraId="42BA24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多级安全控制：实现操作系统级、数据库级、应用系统级、数据操作级四级安全管控，搭配多级加密技术。</w:t>
      </w:r>
    </w:p>
    <w:p w14:paraId="7A1A8C8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传输与存储加密：采用 SSL 安全传输通道；关键业务数据使用 MD5 等加密算法加密存储；数据发生篡改时自动预警提醒。</w:t>
      </w:r>
    </w:p>
    <w:p w14:paraId="678DCF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CA 数字证书：全面支持 CA 认证体系，使用合规机构签发的数字证书，防范数据伪造、篡改、抵赖、假冒。</w:t>
      </w:r>
    </w:p>
    <w:p w14:paraId="464E7A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（三）安全审计与日志</w:t>
      </w:r>
    </w:p>
    <w:p w14:paraId="4BAEFB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全量审计日志：完整记录操作事件时间、地址、类型、操作主体、操作结果，日志不可篡改。</w:t>
      </w:r>
    </w:p>
    <w:p w14:paraId="12F834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审计范围：覆盖服务器、终端、安全设备启停；账号新增 / 删除、权限变更；管理员及普通用户全量操作等所有安全相关事件。</w:t>
      </w:r>
    </w:p>
    <w:p w14:paraId="570579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（四）数据备份与容灾</w:t>
      </w:r>
    </w:p>
    <w:p w14:paraId="081E0F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数据留存：业务数据在线保存时长不少于 3 年。</w:t>
      </w:r>
    </w:p>
    <w:p w14:paraId="0442A8A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备份策略：执行本地 + 异地双备份机制，定期开展备份恢复测试，支持数据归档、快速抽取与应急恢复。</w:t>
      </w:r>
    </w:p>
    <w:p w14:paraId="0C4D09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应急方案：制定完善的数据应急处置、系统故障恢复方案，配备专用备份存储设备。</w:t>
      </w:r>
    </w:p>
    <w:p w14:paraId="02771B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（五）网络安全防护</w:t>
      </w:r>
    </w:p>
    <w:p w14:paraId="2E6FE8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具备防黑客入侵、防网络攻击、防恶意访问能力，用户密码、隐私数据传输、存储均符合国家网络安全规范。</w:t>
      </w:r>
    </w:p>
    <w:p w14:paraId="163BCFC4">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五、运维与监控需求</w:t>
      </w:r>
    </w:p>
    <w:p w14:paraId="0F9E5E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（一）运维监控体系</w:t>
      </w:r>
    </w:p>
    <w:p w14:paraId="49ACAA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全组件监控：实时监控分布式架构下所有服务、组件、服务器运行状态，快速定位故障、监测系统性能。</w:t>
      </w:r>
    </w:p>
    <w:p w14:paraId="000E1DA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统一接口监控：搭建接口统一监控平台，实时监测接口调用状态、成功率、响应速度。</w:t>
      </w:r>
    </w:p>
    <w:p w14:paraId="38941C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告警机制：支持多渠道故障告警，第一时间将异常信息推送至运维负责人，为系统弹性扩容、故障处理提供数据支撑。</w:t>
      </w:r>
    </w:p>
    <w:p w14:paraId="250FB7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（二）运维能力要求</w:t>
      </w:r>
    </w:p>
    <w:p w14:paraId="66F0603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支持应用快速研发、部署、版本更新，适配业务快速迭代需求。</w:t>
      </w:r>
    </w:p>
    <w:p w14:paraId="2EA752C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提供 7×24 小时运维保障，建立常态化巡检机制。</w:t>
      </w:r>
    </w:p>
    <w:p w14:paraId="641E81DD">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六、项目实施、团队与服务要求</w:t>
      </w:r>
    </w:p>
    <w:p w14:paraId="0168ED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（一）项目实施整体要求</w:t>
      </w:r>
    </w:p>
    <w:p w14:paraId="3170F4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项目全流程分为现场调研、需求分析、系统设计、开发配置、数据梳理迁移、系统测试、上线试运行、正式验收八大阶段，双方明确分工、里程碑节点及进度保障措施。</w:t>
      </w:r>
    </w:p>
    <w:p w14:paraId="554DC53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数据治理：完成院内现有物料、供应商、历史发票等基础数据梳理，制定数据迁移、系统切换方案，保障数据平稳过渡。</w:t>
      </w:r>
    </w:p>
    <w:p w14:paraId="2394E3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实施文档：全过程留存实施日志、会议纪要、进度报告、测试报告等资料。</w:t>
      </w:r>
    </w:p>
    <w:p w14:paraId="21D683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（二）项目人员团队配置</w:t>
      </w:r>
    </w:p>
    <w:p w14:paraId="3D8628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投标方需组建专属项目团队，人员为投标方正式员工，并提供指定时间段社保证明，项目期间人员不得擅自调离：</w:t>
      </w:r>
    </w:p>
    <w:p w14:paraId="5EC096F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项目负责人（1 人）：本科及以上学历，10 年以上项目管理及同类财税信息化项目经验；统筹项目全流程，协调各方资源，需求调研阶段全程驻场，其余阶段按需驻场。</w:t>
      </w:r>
    </w:p>
    <w:p w14:paraId="1D6BB62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开发人员（1 人及以上）：本科及以上学历，10 年以上项目开发经验；负责模块设计、接口对接、问题排查、技术文档编写，远程支持 + 按需驻场。</w:t>
      </w:r>
    </w:p>
    <w:p w14:paraId="4836DF4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实施人员（2 人）：本科及以上学历，5 年以上信息化项目实施经验；全程驻场，负责需求调研、系统部署、数据库配置、数据初始化、实施文档编写。</w:t>
      </w:r>
    </w:p>
    <w:p w14:paraId="7C1FED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可额外配备业务顾问，保障业务功能贴合医院实际管理要求。</w:t>
      </w:r>
    </w:p>
    <w:p w14:paraId="6FF75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（三）项目验收要求</w:t>
      </w:r>
    </w:p>
    <w:p w14:paraId="7EA1402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验收依据：本需求报告、投标文件、合同、技术协议。</w:t>
      </w:r>
    </w:p>
    <w:p w14:paraId="0B26E1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验收流程：系统上线试运行，运行稳定后由我院组织验收小组开展全面验收；系统故障未消除则顺延验收周期。</w:t>
      </w:r>
    </w:p>
    <w:p w14:paraId="6DB2246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交付资料：中标方需提供全套中文可编辑技术文档、使用手册、运维手册等资料。</w:t>
      </w:r>
    </w:p>
    <w:p w14:paraId="662B91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（四）培训要求</w:t>
      </w:r>
    </w:p>
    <w:p w14:paraId="308A43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分两类开展现场培训，培训前提供标准培训教材与培训计划：</w:t>
      </w:r>
    </w:p>
    <w:p w14:paraId="435B08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业务操作人员培训：覆盖全功能操作、日常发票处理流程，保障财务人员独立使用系统。</w:t>
      </w:r>
    </w:p>
    <w:p w14:paraId="1664B03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系统运维人员培训：涵盖系统部署、配置、故障排查、版本升级、数据维护等内容。</w:t>
      </w:r>
    </w:p>
    <w:p w14:paraId="2FC90C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（五）技术转移要求</w:t>
      </w:r>
    </w:p>
    <w:p w14:paraId="4EED2D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中标方需完成完整技术转移，交付全套中文技术文档，包含：系统部署手册、配置手册、维护文档、用户操作手册、培训手册、数据字典、接口文档等，格式为 Word/PDF。</w:t>
      </w:r>
    </w:p>
    <w:p w14:paraId="7BE6F6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（六）售后服务与质保</w:t>
      </w:r>
    </w:p>
    <w:p w14:paraId="667B8F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免费质保期：项目整体验收合格之日起提供三年免费质保服务；结合业务过渡期实际需求，质保三年期间全额免收手工发票核验服务费；质保期内提供系统免费版本升级、功能优化。</w:t>
      </w:r>
    </w:p>
    <w:p w14:paraId="2D2C80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服务内容：提供在线答疑、定期回访、远程运维、故障排查、适应性功能调整。</w:t>
      </w:r>
    </w:p>
    <w:p w14:paraId="1F533B9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现场服务：接到现场服务通知后，按承诺时限抵达现场处理问题。</w:t>
      </w:r>
    </w:p>
    <w:p w14:paraId="57219F1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技术支持：建设期及质保期内提供免费技术咨询、技术资料支持。</w:t>
      </w:r>
    </w:p>
    <w:p w14:paraId="3FE024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（七）交付文档清单</w:t>
      </w:r>
    </w:p>
    <w:p w14:paraId="14D778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项目全周期需交付以下中文可编辑文档：</w:t>
      </w:r>
    </w:p>
    <w:p w14:paraId="2937D22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方案类：项目实施方案、实施计划书、培训方案、技术转移方案、安全方案、集成方案。</w:t>
      </w:r>
    </w:p>
    <w:p w14:paraId="5D84CB7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设计类：系统需求说明书、功能设计书、技术设计书、接口文档、数据字典。</w:t>
      </w:r>
    </w:p>
    <w:p w14:paraId="4A7FB7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使用类：用户手册、系统安装配置手册、运维手册。</w:t>
      </w:r>
    </w:p>
    <w:p w14:paraId="20C1E0C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过程类：实施日志、进度报告、会议纪要、测试报告、问题解决方案。</w:t>
      </w:r>
    </w:p>
    <w:p w14:paraId="48D97F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验收类：试运行报告、验收报告、项目总结报告。</w:t>
      </w:r>
    </w:p>
    <w:p w14:paraId="5B00DEB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七、接口集成需求</w:t>
      </w:r>
    </w:p>
    <w:p w14:paraId="4B6D971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对内接口：提供标准接口与医院信息系统、费用控制系统、财务系统、现有票据系统对接，实现数据双向流转、状态同步。</w:t>
      </w:r>
    </w:p>
    <w:p w14:paraId="4649D0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对外接口：对接税务系统接口，实现发票数据同步、发票查验、税务入账；支持发票数据、影像文件向周边业务系统推送。</w:t>
      </w:r>
    </w:p>
    <w:p w14:paraId="1A3ECC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接口要求：明确接口清单、实现方式、加密规则、安全策略、用户授权机制，接口具备高安全性、稳定性、兼容性。</w:t>
      </w:r>
    </w:p>
    <w:p w14:paraId="445D0C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第三方接口费用要求：本项目涉及税务系统、外部第三方平台等所有外部接口对接产生的接口授权费、对接开发费、系统更换等第三方相关费用，全部包含在本项目整体报价内，由中标软件公司统一承担，采购人不再另行支付任何第三方接口相关费用。具体业务平台方：前期凯唱软件及后续我院新上的大系统所涉及到相关业务需求的各模块,由医院牵头推进与相关系统方技术对接等事宜。</w:t>
      </w:r>
    </w:p>
    <w:p w14:paraId="63E1E74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八、软硬件选型要求</w:t>
      </w:r>
    </w:p>
    <w:p w14:paraId="6C73859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系统软件：选用成熟稳定的服务器操作系统、数据库软件、中间件、应用服务器，适配 J2EE 架构。</w:t>
      </w:r>
    </w:p>
    <w:p w14:paraId="26D894B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硬件设备：明确服务器、客户端、扫码枪、扫描仪等外围设备参数要求，提供推荐硬件配置清单。</w:t>
      </w:r>
    </w:p>
    <w:p w14:paraId="5DCD5C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选型说明：详细列明所有系统软件、工具软件、中间件清单及版本、性能指标。</w:t>
      </w:r>
    </w:p>
    <w:p w14:paraId="2A5C29C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九、项目管理与风险管控</w:t>
      </w:r>
    </w:p>
    <w:p w14:paraId="2CBABB2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项目管理：建立文档、进度、沟通、人员、质量、成本全维度管理机制，严格把控各阶段节点。</w:t>
      </w:r>
    </w:p>
    <w:p w14:paraId="12AA08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风险管理：提前识别数据迁移、系统对接、上线运行、政策变动等风险，制定风险规避、应急处置措施。</w:t>
      </w:r>
    </w:p>
    <w:p w14:paraId="201042D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变更管理：建立规范的需求变更流程，所有变更留痕、评估、确认后执行。</w:t>
      </w:r>
    </w:p>
    <w:p w14:paraId="006CE260">
      <w:pPr>
        <w:pStyle w:val="42"/>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0" w:leftChars="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kern w:val="2"/>
          <w:sz w:val="24"/>
          <w:szCs w:val="24"/>
          <w:lang w:val="en-US" w:eastAsia="zh-CN" w:bidi="ar-SA"/>
        </w:rPr>
        <w:t>十、</w:t>
      </w:r>
      <w:r>
        <w:rPr>
          <w:rFonts w:hint="eastAsia" w:asciiTheme="majorEastAsia" w:hAnsiTheme="majorEastAsia" w:eastAsiaTheme="majorEastAsia" w:cstheme="majorEastAsia"/>
          <w:b/>
          <w:bCs/>
          <w:sz w:val="24"/>
          <w:szCs w:val="24"/>
        </w:rPr>
        <w:t>基本资格要求</w:t>
      </w:r>
    </w:p>
    <w:p w14:paraId="12FB90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1.投标人须为在中华人民共和国境内依法注册的独立法人或其他组织，遵守中国有关法律、法规，具有良好的商业信誉（提供营业执照复印件并加盖公章）；</w:t>
      </w:r>
    </w:p>
    <w:p w14:paraId="4FA69D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bookmarkStart w:id="3" w:name="_Hlk98971087"/>
      <w:r>
        <w:rPr>
          <w:rFonts w:hint="eastAsia" w:asciiTheme="majorEastAsia" w:hAnsiTheme="majorEastAsia" w:eastAsiaTheme="majorEastAsia" w:cstheme="majorEastAsia"/>
          <w:sz w:val="24"/>
          <w:szCs w:val="24"/>
        </w:rPr>
        <w:t>2.投标人须提供2024或2025年度经会计师事务所审计的会计报表</w:t>
      </w:r>
      <w:bookmarkStart w:id="4" w:name="_Hlk96815911"/>
      <w:r>
        <w:rPr>
          <w:rFonts w:hint="eastAsia" w:asciiTheme="majorEastAsia" w:hAnsiTheme="majorEastAsia" w:eastAsiaTheme="majorEastAsia" w:cstheme="majorEastAsia"/>
          <w:sz w:val="24"/>
          <w:szCs w:val="24"/>
        </w:rPr>
        <w:t>（提供证明文件）；</w:t>
      </w:r>
    </w:p>
    <w:bookmarkEnd w:id="4"/>
    <w:p w14:paraId="6F559B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3.供应商所提供产品具备自有软件著作权证书；</w:t>
      </w:r>
    </w:p>
    <w:p w14:paraId="4D7CB9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4.投标人须具备有效期内的ISO9000系列质量管理体系认证证书、ISO27000系列信息安全管理体系认证证书、ISO20000系列信息技术服务管理体系认证证书；</w:t>
      </w:r>
    </w:p>
    <w:p w14:paraId="17261E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bookmarkEnd w:id="3"/>
      <w:r>
        <w:rPr>
          <w:rFonts w:hint="eastAsia" w:asciiTheme="majorEastAsia" w:hAnsiTheme="majorEastAsia" w:eastAsiaTheme="majorEastAsia" w:cstheme="majorEastAsia"/>
          <w:sz w:val="24"/>
          <w:szCs w:val="24"/>
        </w:rPr>
        <w:t>本项目不允许分包、转包；</w:t>
      </w:r>
    </w:p>
    <w:p w14:paraId="3922A0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6.本项目不接受联合体投标。</w:t>
      </w:r>
    </w:p>
    <w:p w14:paraId="2AE0DE2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十一、总结</w:t>
      </w:r>
    </w:p>
    <w:p w14:paraId="048336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查验发票管理平台围绕公立医院税务内控、发票全流程管理核心需求，以私有化部署、全票种管控、智能核验、风险防控、系统集成、安全可靠为核心目标，整合软硬件、技术架构、功能模块、实施服务、安全运维等全维度要求。平台建成后将彻底解决我院传统发票管理痛点，落实财税政策要求，强化内控管理，降低税务风险，提升财务信息化水平，并具备长期可扩展能力，适配未来业务与政策发展。</w:t>
      </w:r>
    </w:p>
    <w:p w14:paraId="0486BD4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十二、评分标准</w:t>
      </w:r>
    </w:p>
    <w:tbl>
      <w:tblPr>
        <w:tblStyle w:val="22"/>
        <w:tblW w:w="95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990"/>
        <w:gridCol w:w="1395"/>
        <w:gridCol w:w="5953"/>
        <w:gridCol w:w="585"/>
      </w:tblGrid>
      <w:tr w14:paraId="290F3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7584CF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评审维度</w:t>
            </w:r>
          </w:p>
        </w:tc>
        <w:tc>
          <w:tcPr>
            <w:tcW w:w="990"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7082C8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分值（100分）</w:t>
            </w:r>
          </w:p>
        </w:tc>
        <w:tc>
          <w:tcPr>
            <w:tcW w:w="1395"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63A08D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评审细分项</w:t>
            </w:r>
          </w:p>
        </w:tc>
        <w:tc>
          <w:tcPr>
            <w:tcW w:w="5953"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3133C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评分细则</w:t>
            </w:r>
          </w:p>
        </w:tc>
        <w:tc>
          <w:tcPr>
            <w:tcW w:w="585"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7F0773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打分</w:t>
            </w:r>
          </w:p>
        </w:tc>
      </w:tr>
      <w:tr w14:paraId="2071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0D5C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价格</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730C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30分</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DA7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投标报价评审（30分）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F7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1、评标基准价确定：通过资格及符合性审查的最低有效投标报价为评标基准价；报价超出采购预算最高限价的，作无效投标处理。</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92C80">
            <w:pPr>
              <w:jc w:val="center"/>
              <w:rPr>
                <w:rFonts w:hint="eastAsia" w:asciiTheme="minorEastAsia" w:hAnsiTheme="minorEastAsia" w:eastAsiaTheme="minorEastAsia" w:cstheme="minorEastAsia"/>
                <w:i w:val="0"/>
                <w:iCs w:val="0"/>
                <w:color w:val="000000"/>
                <w:sz w:val="22"/>
                <w:szCs w:val="22"/>
                <w:u w:val="none"/>
              </w:rPr>
            </w:pPr>
          </w:p>
        </w:tc>
      </w:tr>
      <w:tr w14:paraId="6FA0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660CA">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202BC">
            <w:pPr>
              <w:jc w:val="center"/>
              <w:rPr>
                <w:rFonts w:hint="eastAsia" w:asciiTheme="minorEastAsia" w:hAnsiTheme="minorEastAsia" w:eastAsiaTheme="minorEastAsia" w:cstheme="minorEastAsia"/>
                <w:b/>
                <w:bCs/>
                <w:i w:val="0"/>
                <w:iCs w:val="0"/>
                <w:color w:val="000000"/>
                <w:sz w:val="22"/>
                <w:szCs w:val="22"/>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8DC82">
            <w:pPr>
              <w:rPr>
                <w:rFonts w:hint="eastAsia" w:asciiTheme="minorEastAsia" w:hAnsiTheme="minorEastAsia" w:eastAsiaTheme="minorEastAsia" w:cstheme="minorEastAsia"/>
                <w:i w:val="0"/>
                <w:iCs w:val="0"/>
                <w:color w:val="000000"/>
                <w:sz w:val="22"/>
                <w:szCs w:val="22"/>
                <w:u w:val="none"/>
              </w:rPr>
            </w:pP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EA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2、价格得分计算公式：价格得分=（评标基准价÷投标报价）×30，结果保留两位小数。</w:t>
            </w: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6E583">
            <w:pPr>
              <w:jc w:val="center"/>
              <w:rPr>
                <w:rFonts w:hint="eastAsia" w:asciiTheme="minorEastAsia" w:hAnsiTheme="minorEastAsia" w:eastAsiaTheme="minorEastAsia" w:cstheme="minorEastAsia"/>
                <w:i w:val="0"/>
                <w:iCs w:val="0"/>
                <w:color w:val="000000"/>
                <w:sz w:val="22"/>
                <w:szCs w:val="22"/>
                <w:u w:val="none"/>
              </w:rPr>
            </w:pPr>
          </w:p>
        </w:tc>
      </w:tr>
      <w:tr w14:paraId="11BA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FDCFE">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B5B7B">
            <w:pPr>
              <w:jc w:val="center"/>
              <w:rPr>
                <w:rFonts w:hint="eastAsia" w:asciiTheme="minorEastAsia" w:hAnsiTheme="minorEastAsia" w:eastAsiaTheme="minorEastAsia" w:cstheme="minorEastAsia"/>
                <w:b/>
                <w:bCs/>
                <w:i w:val="0"/>
                <w:iCs w:val="0"/>
                <w:color w:val="000000"/>
                <w:sz w:val="22"/>
                <w:szCs w:val="22"/>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D0556">
            <w:pPr>
              <w:rPr>
                <w:rFonts w:hint="eastAsia" w:asciiTheme="minorEastAsia" w:hAnsiTheme="minorEastAsia" w:eastAsiaTheme="minorEastAsia" w:cstheme="minorEastAsia"/>
                <w:i w:val="0"/>
                <w:iCs w:val="0"/>
                <w:color w:val="000000"/>
                <w:sz w:val="22"/>
                <w:szCs w:val="22"/>
                <w:u w:val="none"/>
              </w:rPr>
            </w:pP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50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低价风险管控：依据江苏省财政厅文件《江苏省财政厅转发财政部关于推动解决政府采购异常低价问题的通知》（苏财购〔2026〕36号），若存在投标报价低于全部通过符合性审查供应商投标报价平均值或次低报价的50%、投标报价低于采购项目最高限价的45%等情况，投标人需提供具体成本测算等与报价合理性相关的书面说明及必要的证明材料，由评审委员会对报价合理性进行判断；投标人不能提供书面说明、证明材料的、或其提供的材料不能证明报价合理性的，评审委员会应当作无效投标处理。</w:t>
            </w: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09904">
            <w:pPr>
              <w:jc w:val="center"/>
              <w:rPr>
                <w:rFonts w:hint="eastAsia" w:asciiTheme="minorEastAsia" w:hAnsiTheme="minorEastAsia" w:eastAsiaTheme="minorEastAsia" w:cstheme="minorEastAsia"/>
                <w:i w:val="0"/>
                <w:iCs w:val="0"/>
                <w:color w:val="000000"/>
                <w:sz w:val="22"/>
                <w:szCs w:val="22"/>
                <w:u w:val="none"/>
              </w:rPr>
            </w:pPr>
          </w:p>
        </w:tc>
      </w:tr>
      <w:tr w14:paraId="2093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9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80C9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方案</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C1F8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30分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A2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1、整体技术方案可行性（10分）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C5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根据投标人提供的系统架构设计、技术实现路径、数据安全方案、风险防控方案、落地实施流程进行综合评审：方案完整、详细、科学合理、贴合医院业务场景、技术先进、能结合项目特点制定方案、落地性极强，得10分；方案基本可行、无明显漏洞，得6分；方案简陋、适配性差、存在明显缺陷，得4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598E">
            <w:pPr>
              <w:rPr>
                <w:rFonts w:hint="eastAsia" w:asciiTheme="minorEastAsia" w:hAnsiTheme="minorEastAsia" w:eastAsiaTheme="minorEastAsia" w:cstheme="minorEastAsia"/>
                <w:i w:val="0"/>
                <w:iCs w:val="0"/>
                <w:color w:val="000000"/>
                <w:sz w:val="22"/>
                <w:szCs w:val="22"/>
                <w:u w:val="none"/>
              </w:rPr>
            </w:pPr>
          </w:p>
        </w:tc>
      </w:tr>
      <w:tr w14:paraId="50A7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9A7B3">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DAD4D">
            <w:pPr>
              <w:jc w:val="center"/>
              <w:rPr>
                <w:rFonts w:hint="eastAsia" w:asciiTheme="minorEastAsia" w:hAnsiTheme="minorEastAsia" w:eastAsiaTheme="minorEastAsia" w:cstheme="minorEastAsia"/>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E0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2、项目实施与培训方案（10分）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E0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结合项目工期规划、现场实施流程、院内人员操作培训、上线试运行方案、验收标准等内容综合评审：方案详实完善、工期合理、培训体系完整、验收规范，得10分；方案基本完整，得5分；方案缺失关键环节、规划混乱，得2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5785">
            <w:pPr>
              <w:rPr>
                <w:rFonts w:hint="eastAsia" w:asciiTheme="minorEastAsia" w:hAnsiTheme="minorEastAsia" w:eastAsiaTheme="minorEastAsia" w:cstheme="minorEastAsia"/>
                <w:i w:val="0"/>
                <w:iCs w:val="0"/>
                <w:color w:val="000000"/>
                <w:sz w:val="22"/>
                <w:szCs w:val="22"/>
                <w:u w:val="none"/>
              </w:rPr>
            </w:pPr>
          </w:p>
        </w:tc>
      </w:tr>
      <w:tr w14:paraId="3F3F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4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32B6C">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98AC3">
            <w:pPr>
              <w:jc w:val="center"/>
              <w:rPr>
                <w:rFonts w:hint="eastAsia" w:asciiTheme="minorEastAsia" w:hAnsiTheme="minorEastAsia" w:eastAsiaTheme="minorEastAsia" w:cstheme="minorEastAsia"/>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B0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3、数据安全与保密方案（10分）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2A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针对医院发票数据、财务数据的安全存储、传输加密、权限管控、数据备份、防泄露、合规归档等方案综合评审：方案包括但不限于保密范围、保密措施、保密承诺等内容,全面严谨、符合医疗数据安全规范，得10分；方案基本满足需求，得4分；无专项安全方案不得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6D8E">
            <w:pPr>
              <w:rPr>
                <w:rFonts w:hint="eastAsia" w:asciiTheme="minorEastAsia" w:hAnsiTheme="minorEastAsia" w:eastAsiaTheme="minorEastAsia" w:cstheme="minorEastAsia"/>
                <w:i w:val="0"/>
                <w:iCs w:val="0"/>
                <w:color w:val="000000"/>
                <w:sz w:val="22"/>
                <w:szCs w:val="22"/>
                <w:u w:val="none"/>
              </w:rPr>
            </w:pPr>
          </w:p>
        </w:tc>
      </w:tr>
      <w:tr w14:paraId="00BB6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937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技术</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89FE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20分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54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1、系统核心功能适配（16分）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61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支持税务直连对接税务系统，支持数电发票、纸质发票批量核验、真伪查验、重复报销拦截、错票废票识别，发票税务入账（锁票）完全满足医院财务风控需求，得10分（提供相关截图）；缺少任意一项核心功能，每项扣2分，扣完为止。（2）支持历史发票回溯核验（近5-8年发票数据校验）、发票数据统计分析、风险发票台账自动生成，功能完整完善，得6分；功能缺失或不完善，每项扣2分，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8E41">
            <w:pPr>
              <w:rPr>
                <w:rFonts w:hint="eastAsia" w:asciiTheme="minorEastAsia" w:hAnsiTheme="minorEastAsia" w:eastAsiaTheme="minorEastAsia" w:cstheme="minorEastAsia"/>
                <w:i w:val="0"/>
                <w:iCs w:val="0"/>
                <w:color w:val="000000"/>
                <w:sz w:val="22"/>
                <w:szCs w:val="22"/>
                <w:u w:val="none"/>
              </w:rPr>
            </w:pPr>
          </w:p>
        </w:tc>
      </w:tr>
      <w:tr w14:paraId="49F39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B2E2A">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CDACC">
            <w:pPr>
              <w:jc w:val="center"/>
              <w:rPr>
                <w:rFonts w:hint="eastAsia" w:asciiTheme="minorEastAsia" w:hAnsiTheme="minorEastAsia" w:eastAsiaTheme="minorEastAsia" w:cstheme="minorEastAsia"/>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C0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2、项目团队配置（4分）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63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（1）配备专属项目经理，10 年以上项目管理及同类财税信息化项目经验；开发人员10 年以上项目开发经验，团队架构完整得2分（提供劳动合同复印件）；人员配置缺失扣2分。（2）团队人员具备计算机技术与软件专业技术资格证书的，每证得1分，最高2分（提供证书复印件及劳动合同）。</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注意：投标人需提供为项目团队人员缴纳的近3个月的任意一个月的社保证明。</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E9FF">
            <w:pPr>
              <w:rPr>
                <w:rFonts w:hint="eastAsia" w:asciiTheme="minorEastAsia" w:hAnsiTheme="minorEastAsia" w:eastAsiaTheme="minorEastAsia" w:cstheme="minorEastAsia"/>
                <w:i w:val="0"/>
                <w:iCs w:val="0"/>
                <w:color w:val="000000"/>
                <w:sz w:val="22"/>
                <w:szCs w:val="22"/>
                <w:u w:val="none"/>
              </w:rPr>
            </w:pPr>
          </w:p>
        </w:tc>
      </w:tr>
      <w:tr w14:paraId="73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5C4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售后</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7D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10分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78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售后与增值服务能力（10分）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F1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系统售后与迭代优化能力（三年免费质保服务），售后满足院方需求，定制化开发适配能力、长期技术支持、增值功能拓展服务等，服务完善、拓展性强得10分；基本满足需求得5分，无增值服务不得分。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F56D">
            <w:pPr>
              <w:rPr>
                <w:rFonts w:hint="eastAsia" w:asciiTheme="minorEastAsia" w:hAnsiTheme="minorEastAsia" w:eastAsiaTheme="minorEastAsia" w:cstheme="minorEastAsia"/>
                <w:i w:val="0"/>
                <w:iCs w:val="0"/>
                <w:color w:val="000000"/>
                <w:sz w:val="22"/>
                <w:szCs w:val="22"/>
                <w:u w:val="none"/>
              </w:rPr>
            </w:pPr>
          </w:p>
        </w:tc>
      </w:tr>
      <w:tr w14:paraId="02A8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5BD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资质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560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5分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25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产品资质与合规性（5分）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6E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投标公司具备软件著作权证书、信息安全管理体系认证证书、具有CMMI三级及以上证书、高新技术企业证书、信息技术服务标准符合性证书，每提供1份，得1分，最高得5分。（2）无法提供证书复印件，资质证书过期、伪造、信息不符的，本项计0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E43B">
            <w:pPr>
              <w:rPr>
                <w:rFonts w:hint="eastAsia" w:asciiTheme="minorEastAsia" w:hAnsiTheme="minorEastAsia" w:eastAsiaTheme="minorEastAsia" w:cstheme="minorEastAsia"/>
                <w:i w:val="0"/>
                <w:iCs w:val="0"/>
                <w:color w:val="000000"/>
                <w:sz w:val="22"/>
                <w:szCs w:val="22"/>
                <w:u w:val="none"/>
              </w:rPr>
            </w:pPr>
          </w:p>
        </w:tc>
      </w:tr>
      <w:tr w14:paraId="19D14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2E4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业绩</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4C8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5分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8E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企业同类项目业绩（5分）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A9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近5年内公立医院税务增值税发票（电子发票、纸质发票、数电发票）相关的管理、查验平台系统落地项目业绩，每提供1个完整业绩得1分，最高5分。（2）提供合同复印件。合同复印件应能清晰体现合同甲乙双方、合同时间、合同主要内容等，否则不计分。（3）非公立医院项目不计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A8D0">
            <w:pPr>
              <w:rPr>
                <w:rFonts w:hint="eastAsia" w:asciiTheme="minorEastAsia" w:hAnsiTheme="minorEastAsia" w:eastAsiaTheme="minorEastAsia" w:cstheme="minorEastAsia"/>
                <w:i w:val="0"/>
                <w:iCs w:val="0"/>
                <w:color w:val="000000"/>
                <w:sz w:val="22"/>
                <w:szCs w:val="22"/>
                <w:u w:val="none"/>
              </w:rPr>
            </w:pPr>
          </w:p>
        </w:tc>
      </w:tr>
    </w:tbl>
    <w:p w14:paraId="7D631DF4">
      <w:pPr>
        <w:rPr>
          <w:rFonts w:ascii="宋体" w:hAnsi="宋体"/>
          <w:color w:val="000000" w:themeColor="text1"/>
          <w14:textFill>
            <w14:solidFill>
              <w14:schemeClr w14:val="tx1"/>
            </w14:solidFill>
          </w14:textFill>
        </w:rPr>
      </w:pPr>
    </w:p>
    <w:p w14:paraId="18163DF0">
      <w:pPr>
        <w:pStyle w:val="65"/>
        <w:ind w:firstLine="0" w:firstLineChars="0"/>
        <w:rPr>
          <w:rFonts w:ascii="宋体" w:hAnsi="宋体"/>
          <w:b/>
          <w:color w:val="000000" w:themeColor="text1"/>
          <w14:textFill>
            <w14:solidFill>
              <w14:schemeClr w14:val="tx1"/>
            </w14:solidFill>
          </w14:textFill>
        </w:rPr>
      </w:pPr>
    </w:p>
    <w:p w14:paraId="2852F05D">
      <w:pPr>
        <w:rPr>
          <w:rFonts w:ascii="宋体" w:hAnsi="宋体"/>
          <w:color w:val="000000" w:themeColor="text1"/>
          <w14:textFill>
            <w14:solidFill>
              <w14:schemeClr w14:val="tx1"/>
            </w14:solidFill>
          </w14:textFill>
        </w:rPr>
      </w:pPr>
    </w:p>
    <w:p w14:paraId="7F9037FF">
      <w:pPr>
        <w:pStyle w:val="28"/>
      </w:pPr>
    </w:p>
    <w:p w14:paraId="5978649C">
      <w:pPr>
        <w:pStyle w:val="28"/>
      </w:pPr>
    </w:p>
    <w:p w14:paraId="7AB89BFF">
      <w:pPr>
        <w:pStyle w:val="28"/>
      </w:pPr>
    </w:p>
    <w:p w14:paraId="174571FC">
      <w:pPr>
        <w:pStyle w:val="28"/>
      </w:pPr>
    </w:p>
    <w:p w14:paraId="4B608B71">
      <w:pPr>
        <w:pStyle w:val="28"/>
        <w:rPr>
          <w:rFonts w:hint="eastAsia"/>
        </w:rPr>
      </w:pPr>
    </w:p>
    <w:p w14:paraId="45955279">
      <w:pPr>
        <w:pStyle w:val="28"/>
      </w:pPr>
    </w:p>
    <w:p w14:paraId="0CE1ABE6">
      <w:pPr>
        <w:rPr>
          <w:rFonts w:hint="eastAsia"/>
          <w:b/>
          <w:sz w:val="32"/>
          <w:szCs w:val="32"/>
        </w:rPr>
      </w:pPr>
      <w:r>
        <w:rPr>
          <w:rFonts w:hint="eastAsia"/>
          <w:b/>
          <w:sz w:val="32"/>
          <w:szCs w:val="32"/>
        </w:rPr>
        <w:br w:type="page"/>
      </w:r>
    </w:p>
    <w:p w14:paraId="56C58066">
      <w:pPr>
        <w:jc w:val="center"/>
        <w:rPr>
          <w:b/>
          <w:sz w:val="32"/>
          <w:szCs w:val="32"/>
        </w:rPr>
      </w:pPr>
      <w:r>
        <w:rPr>
          <w:rFonts w:hint="eastAsia"/>
          <w:b/>
          <w:sz w:val="32"/>
          <w:szCs w:val="32"/>
        </w:rPr>
        <w:t>三、投标人须知</w:t>
      </w:r>
      <w:bookmarkEnd w:id="2"/>
    </w:p>
    <w:p w14:paraId="71DB9ED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b/>
          <w:sz w:val="28"/>
          <w:szCs w:val="28"/>
        </w:rPr>
      </w:pPr>
      <w:r>
        <w:rPr>
          <w:rFonts w:hint="eastAsia"/>
          <w:b/>
          <w:sz w:val="28"/>
          <w:szCs w:val="28"/>
        </w:rPr>
        <w:t>（一）编制要求</w:t>
      </w:r>
    </w:p>
    <w:p w14:paraId="63083ED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bookmarkStart w:id="5" w:name="_Toc39744254"/>
      <w:r>
        <w:rPr>
          <w:rFonts w:hint="eastAsia" w:ascii="宋体" w:hAnsi="宋体"/>
          <w:sz w:val="24"/>
          <w:szCs w:val="24"/>
        </w:rPr>
        <w:t>1、投标人应在仔细阅读谈判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4E5FCF04">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2、投标人在收到谈判文件后，若有疑问应以书面形式（包括书面文字、传真、电子邮件等）在规定时间前向招标人提出。招标人将所有问题集中后在统一答复所有投标人。</w:t>
      </w:r>
    </w:p>
    <w:p w14:paraId="4C95B18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3、明确标明“正本”或“副本”字样，一旦正本和副本有差异，以正本为准。所有投标资料均需A4纸打印，按照谈判文件规定的顺序装订。</w:t>
      </w:r>
    </w:p>
    <w:p w14:paraId="546100BA">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8"/>
          <w:szCs w:val="28"/>
        </w:rPr>
      </w:pPr>
      <w:r>
        <w:rPr>
          <w:rFonts w:hint="eastAsia"/>
          <w:b/>
          <w:sz w:val="28"/>
          <w:szCs w:val="28"/>
        </w:rPr>
        <w:t>（二）资格审查要求</w:t>
      </w:r>
      <w:bookmarkEnd w:id="5"/>
    </w:p>
    <w:p w14:paraId="1950885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color w:val="FF0000"/>
          <w:sz w:val="24"/>
          <w:szCs w:val="24"/>
        </w:rPr>
        <w:t>202</w:t>
      </w:r>
      <w:r>
        <w:rPr>
          <w:rFonts w:hint="eastAsia" w:ascii="宋体" w:hAnsi="宋体"/>
          <w:b/>
          <w:color w:val="FF0000"/>
          <w:sz w:val="24"/>
          <w:szCs w:val="24"/>
          <w:lang w:val="en-US" w:eastAsia="zh-CN"/>
        </w:rPr>
        <w:t>6</w:t>
      </w:r>
      <w:r>
        <w:rPr>
          <w:rFonts w:hint="eastAsia" w:ascii="宋体" w:hAnsi="宋体"/>
          <w:b/>
          <w:color w:val="FF0000"/>
          <w:sz w:val="24"/>
          <w:szCs w:val="24"/>
        </w:rPr>
        <w:t>年</w:t>
      </w:r>
      <w:r>
        <w:rPr>
          <w:rFonts w:hint="eastAsia" w:ascii="宋体" w:hAnsi="宋体"/>
          <w:b/>
          <w:color w:val="FF0000"/>
          <w:sz w:val="24"/>
          <w:szCs w:val="24"/>
          <w:lang w:val="en-US" w:eastAsia="zh-CN"/>
        </w:rPr>
        <w:t>7</w:t>
      </w:r>
      <w:r>
        <w:rPr>
          <w:rFonts w:hint="eastAsia" w:ascii="宋体" w:hAnsi="宋体"/>
          <w:b/>
          <w:color w:val="FF0000"/>
          <w:sz w:val="24"/>
          <w:szCs w:val="24"/>
        </w:rPr>
        <w:t>月</w:t>
      </w:r>
      <w:r>
        <w:rPr>
          <w:rFonts w:hint="eastAsia" w:ascii="宋体" w:hAnsi="宋体"/>
          <w:b/>
          <w:color w:val="FF0000"/>
          <w:sz w:val="24"/>
          <w:szCs w:val="24"/>
          <w:lang w:val="en-US" w:eastAsia="zh-CN"/>
        </w:rPr>
        <w:t>20</w:t>
      </w:r>
      <w:bookmarkStart w:id="9" w:name="_GoBack"/>
      <w:bookmarkEnd w:id="9"/>
      <w:r>
        <w:rPr>
          <w:rFonts w:hint="eastAsia" w:ascii="宋体" w:hAnsi="宋体"/>
          <w:b/>
          <w:color w:val="FF0000"/>
          <w:sz w:val="24"/>
          <w:szCs w:val="24"/>
        </w:rPr>
        <w:t>日17：00</w:t>
      </w:r>
      <w:r>
        <w:rPr>
          <w:rFonts w:hint="eastAsia" w:ascii="宋体" w:hAnsi="宋体"/>
          <w:b/>
          <w:sz w:val="24"/>
          <w:szCs w:val="24"/>
        </w:rPr>
        <w:t>前须向招标人提供法人授权委托书、供应商参加谈判确认函、营业执照复印件扫描件发送电子邮箱，该授权委托代理为</w:t>
      </w:r>
      <w:r>
        <w:rPr>
          <w:rFonts w:hint="eastAsia" w:ascii="宋体" w:hAnsi="宋体"/>
          <w:b/>
          <w:sz w:val="24"/>
          <w:szCs w:val="24"/>
          <w:lang w:val="en-US" w:eastAsia="zh-CN"/>
        </w:rPr>
        <w:t>该</w:t>
      </w:r>
      <w:r>
        <w:rPr>
          <w:rFonts w:hint="eastAsia" w:ascii="宋体" w:hAnsi="宋体"/>
          <w:b/>
          <w:sz w:val="24"/>
          <w:szCs w:val="24"/>
        </w:rPr>
        <w:t>项目指定联系人。</w:t>
      </w:r>
    </w:p>
    <w:p w14:paraId="418C117B">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1、</w:t>
      </w:r>
      <w:r>
        <w:rPr>
          <w:rFonts w:ascii="宋体" w:hAnsi="宋体"/>
          <w:sz w:val="24"/>
          <w:szCs w:val="24"/>
        </w:rPr>
        <w:t>投标人资质要求</w:t>
      </w:r>
    </w:p>
    <w:p w14:paraId="35877047">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ascii="宋体" w:hAnsi="宋体"/>
          <w:sz w:val="24"/>
          <w:szCs w:val="24"/>
        </w:rPr>
        <w:t>投标人要求</w:t>
      </w:r>
    </w:p>
    <w:p w14:paraId="27EB3068">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cs="宋体"/>
          <w:sz w:val="24"/>
          <w:szCs w:val="24"/>
        </w:rPr>
      </w:pPr>
      <w:r>
        <w:rPr>
          <w:rFonts w:hint="eastAsia" w:ascii="宋体" w:hAnsi="宋体"/>
          <w:sz w:val="24"/>
          <w:szCs w:val="24"/>
          <w:lang w:val="en-US" w:eastAsia="zh-CN"/>
        </w:rPr>
        <w:t>①</w:t>
      </w:r>
      <w:r>
        <w:rPr>
          <w:rFonts w:hint="eastAsia" w:ascii="宋体" w:hAnsi="宋体"/>
          <w:sz w:val="24"/>
          <w:szCs w:val="24"/>
        </w:rPr>
        <w:t>投标人必须是具有独立法人资格的公司；</w:t>
      </w:r>
      <w:r>
        <w:rPr>
          <w:rFonts w:hint="eastAsia" w:ascii="宋体" w:hAnsi="宋体" w:cs="宋体"/>
          <w:sz w:val="24"/>
          <w:szCs w:val="24"/>
        </w:rPr>
        <w:t>经营范围包含软件开发或软件销售内容</w:t>
      </w:r>
      <w:r>
        <w:rPr>
          <w:rFonts w:ascii="宋体" w:hAnsi="宋体" w:cs="宋体"/>
          <w:sz w:val="24"/>
          <w:szCs w:val="24"/>
        </w:rPr>
        <w:t>。</w:t>
      </w:r>
    </w:p>
    <w:p w14:paraId="04ACCCB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val="en-US" w:eastAsia="zh-CN"/>
        </w:rPr>
        <w:t>②</w:t>
      </w:r>
      <w:r>
        <w:rPr>
          <w:rFonts w:hint="eastAsia" w:ascii="宋体" w:hAnsi="宋体"/>
          <w:sz w:val="24"/>
          <w:szCs w:val="24"/>
        </w:rPr>
        <w:t>投标人认为需要提供的资质文件</w:t>
      </w:r>
      <w:r>
        <w:rPr>
          <w:rFonts w:hint="eastAsia" w:ascii="宋体" w:hAnsi="宋体"/>
          <w:sz w:val="24"/>
          <w:szCs w:val="24"/>
          <w:lang w:eastAsia="zh-CN"/>
        </w:rPr>
        <w:t>。</w:t>
      </w:r>
    </w:p>
    <w:p w14:paraId="7437490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2、</w:t>
      </w:r>
      <w:r>
        <w:rPr>
          <w:rFonts w:ascii="宋体" w:hAnsi="宋体"/>
          <w:sz w:val="24"/>
          <w:szCs w:val="24"/>
        </w:rPr>
        <w:t>承担本项目能力和资格的有关资格证明材料</w:t>
      </w:r>
    </w:p>
    <w:p w14:paraId="07F9474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ascii="宋体" w:hAnsi="宋体"/>
          <w:sz w:val="24"/>
          <w:szCs w:val="24"/>
        </w:rPr>
        <w:t xml:space="preserve"> 由工商局签发的投标人工商营业执照副本复印件（加盖公章）；</w:t>
      </w:r>
    </w:p>
    <w:p w14:paraId="012FDEB0">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ascii="宋体" w:hAnsi="宋体"/>
          <w:sz w:val="24"/>
          <w:szCs w:val="24"/>
        </w:rPr>
        <w:t>投标人各类资质证书材料复印件（加盖公章）</w:t>
      </w:r>
      <w:r>
        <w:rPr>
          <w:rFonts w:hint="eastAsia" w:ascii="宋体" w:hAnsi="宋体"/>
          <w:sz w:val="24"/>
          <w:szCs w:val="24"/>
          <w:lang w:eastAsia="zh-CN"/>
        </w:rPr>
        <w:t>；</w:t>
      </w:r>
    </w:p>
    <w:p w14:paraId="247EB764">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ascii="宋体" w:hAnsi="宋体"/>
          <w:sz w:val="24"/>
          <w:szCs w:val="24"/>
        </w:rPr>
        <w:t>实施交付能力：投标方必须具备实施开发项目和提供后续服务的能力，且提供必要的使用、配置、系统集成及二次开发培训等相应的知识转移服务</w:t>
      </w:r>
      <w:r>
        <w:rPr>
          <w:rFonts w:hint="eastAsia" w:ascii="宋体" w:hAnsi="宋体"/>
          <w:sz w:val="24"/>
          <w:szCs w:val="24"/>
          <w:lang w:eastAsia="zh-CN"/>
        </w:rPr>
        <w:t>；</w:t>
      </w:r>
    </w:p>
    <w:p w14:paraId="2C4E4CAD">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4</w:t>
      </w:r>
      <w:r>
        <w:rPr>
          <w:rFonts w:hint="eastAsia" w:ascii="宋体" w:hAnsi="宋体"/>
          <w:sz w:val="24"/>
          <w:szCs w:val="24"/>
          <w:lang w:eastAsia="zh-CN"/>
        </w:rPr>
        <w:t>）</w:t>
      </w:r>
      <w:r>
        <w:rPr>
          <w:rFonts w:ascii="宋体" w:hAnsi="宋体"/>
          <w:sz w:val="24"/>
          <w:szCs w:val="24"/>
        </w:rPr>
        <w:t>近三年以来完</w:t>
      </w:r>
      <w:r>
        <w:rPr>
          <w:rFonts w:ascii="宋体" w:hAnsi="宋体"/>
          <w:color w:val="auto"/>
          <w:sz w:val="24"/>
          <w:szCs w:val="24"/>
        </w:rPr>
        <w:t>成</w:t>
      </w:r>
      <w:r>
        <w:rPr>
          <w:rFonts w:hint="eastAsia" w:ascii="宋体" w:hAnsi="宋体"/>
          <w:color w:val="auto"/>
          <w:sz w:val="24"/>
          <w:szCs w:val="24"/>
        </w:rPr>
        <w:t>相关</w:t>
      </w:r>
      <w:r>
        <w:rPr>
          <w:rFonts w:ascii="宋体" w:hAnsi="宋体"/>
          <w:color w:val="auto"/>
          <w:sz w:val="24"/>
          <w:szCs w:val="24"/>
        </w:rPr>
        <w:t>项目一览</w:t>
      </w:r>
      <w:r>
        <w:rPr>
          <w:rFonts w:ascii="宋体" w:hAnsi="宋体"/>
          <w:sz w:val="24"/>
          <w:szCs w:val="24"/>
        </w:rPr>
        <w:t>表，在表中需注明完成该项目的项目经理；</w:t>
      </w:r>
    </w:p>
    <w:p w14:paraId="52E0438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5</w:t>
      </w:r>
      <w:r>
        <w:rPr>
          <w:rFonts w:hint="eastAsia" w:ascii="宋体" w:hAnsi="宋体"/>
          <w:sz w:val="24"/>
          <w:szCs w:val="24"/>
          <w:lang w:eastAsia="zh-CN"/>
        </w:rPr>
        <w:t>）</w:t>
      </w:r>
      <w:r>
        <w:rPr>
          <w:rFonts w:ascii="宋体" w:hAnsi="宋体"/>
          <w:sz w:val="24"/>
          <w:szCs w:val="24"/>
        </w:rPr>
        <w:t>投标方必须由法定代表人或其委托代理人（具有法定代表人签署的授权书）携带身份证原件参加投标、开标仪式，在评标过程中随时接受评委就投标文件内容提出的质询，并予以解答。</w:t>
      </w:r>
    </w:p>
    <w:p w14:paraId="50ACEF0C">
      <w:pPr>
        <w:keepNext w:val="0"/>
        <w:keepLines w:val="0"/>
        <w:pageBreakBefore w:val="0"/>
        <w:widowControl w:val="0"/>
        <w:kinsoku/>
        <w:overflowPunct/>
        <w:topLinePunct w:val="0"/>
        <w:bidi w:val="0"/>
        <w:adjustRightInd w:val="0"/>
        <w:snapToGrid w:val="0"/>
        <w:spacing w:line="360" w:lineRule="auto"/>
        <w:ind w:left="0" w:leftChars="0" w:right="0" w:rightChars="0" w:firstLine="0" w:firstLineChars="0"/>
        <w:contextualSpacing/>
        <w:jc w:val="both"/>
        <w:textAlignment w:val="auto"/>
        <w:rPr>
          <w:b/>
          <w:sz w:val="28"/>
          <w:szCs w:val="28"/>
        </w:rPr>
      </w:pPr>
      <w:bookmarkStart w:id="6" w:name="_Toc39744256"/>
      <w:r>
        <w:rPr>
          <w:rFonts w:hint="eastAsia"/>
          <w:b/>
          <w:sz w:val="28"/>
          <w:szCs w:val="28"/>
        </w:rPr>
        <w:t>（三）投标文件要求</w:t>
      </w:r>
      <w:bookmarkEnd w:id="6"/>
    </w:p>
    <w:p w14:paraId="155B9081">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w:t>
      </w:r>
      <w:r>
        <w:rPr>
          <w:rFonts w:hint="eastAsia" w:ascii="宋体" w:hAnsi="宋体"/>
          <w:b/>
          <w:sz w:val="24"/>
          <w:szCs w:val="24"/>
        </w:rPr>
        <w:t>投标文件的组成</w:t>
      </w:r>
      <w:r>
        <w:rPr>
          <w:rFonts w:hint="eastAsia" w:ascii="宋体" w:hAnsi="宋体"/>
          <w:sz w:val="24"/>
          <w:szCs w:val="24"/>
        </w:rPr>
        <w:t>：</w:t>
      </w:r>
    </w:p>
    <w:p w14:paraId="74C362F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资格审查文件，所有复印件需加盖公章：</w:t>
      </w:r>
    </w:p>
    <w:p w14:paraId="06B900EB">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①</w:t>
      </w:r>
      <w:r>
        <w:rPr>
          <w:rFonts w:hint="eastAsia" w:ascii="宋体" w:hAnsi="宋体"/>
          <w:sz w:val="24"/>
          <w:szCs w:val="24"/>
        </w:rPr>
        <w:t>针对本项目谈判的授权委托书；</w:t>
      </w:r>
    </w:p>
    <w:p w14:paraId="0264E0A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②</w:t>
      </w:r>
      <w:r>
        <w:rPr>
          <w:rFonts w:hint="eastAsia" w:ascii="宋体" w:hAnsi="宋体"/>
          <w:sz w:val="24"/>
          <w:szCs w:val="24"/>
        </w:rPr>
        <w:t>企业法人营业执照；</w:t>
      </w:r>
    </w:p>
    <w:p w14:paraId="730B6A1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③</w:t>
      </w:r>
      <w:r>
        <w:rPr>
          <w:rFonts w:hint="eastAsia" w:ascii="宋体" w:hAnsi="宋体"/>
          <w:sz w:val="24"/>
          <w:szCs w:val="24"/>
        </w:rPr>
        <w:t>企业资质证书</w:t>
      </w:r>
      <w:r>
        <w:rPr>
          <w:rFonts w:hint="eastAsia" w:ascii="宋体"/>
          <w:sz w:val="24"/>
          <w:szCs w:val="24"/>
        </w:rPr>
        <w:t>；</w:t>
      </w:r>
    </w:p>
    <w:p w14:paraId="17F1E52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val="en-US" w:eastAsia="zh-CN"/>
        </w:rPr>
        <w:t>④</w:t>
      </w:r>
      <w:r>
        <w:rPr>
          <w:rFonts w:hint="eastAsia" w:ascii="宋体" w:hAnsi="宋体"/>
          <w:sz w:val="24"/>
          <w:szCs w:val="24"/>
        </w:rPr>
        <w:t>由社保部门出具的投标人</w:t>
      </w:r>
      <w:r>
        <w:rPr>
          <w:rFonts w:hint="eastAsia" w:ascii="宋体" w:hAnsi="宋体"/>
          <w:sz w:val="24"/>
          <w:szCs w:val="24"/>
          <w:highlight w:val="none"/>
        </w:rPr>
        <w:t>为授权委托人及谈判经办人缴纳的</w:t>
      </w:r>
      <w:r>
        <w:rPr>
          <w:rFonts w:hint="eastAsia" w:ascii="宋体" w:hAnsi="宋体"/>
          <w:b/>
          <w:bCs/>
          <w:sz w:val="24"/>
          <w:szCs w:val="24"/>
          <w:highlight w:val="none"/>
          <w:lang w:val="en-US" w:eastAsia="zh-CN"/>
        </w:rPr>
        <w:t>近三个月中任意一个月</w:t>
      </w:r>
      <w:r>
        <w:rPr>
          <w:rFonts w:hint="eastAsia" w:ascii="宋体" w:hAnsi="宋体"/>
          <w:sz w:val="24"/>
          <w:szCs w:val="24"/>
          <w:highlight w:val="none"/>
          <w:lang w:val="en-US" w:eastAsia="zh-CN"/>
        </w:rPr>
        <w:t>的</w:t>
      </w:r>
      <w:r>
        <w:rPr>
          <w:rFonts w:hint="eastAsia" w:ascii="宋体" w:hAnsi="宋体"/>
          <w:sz w:val="24"/>
          <w:szCs w:val="24"/>
          <w:highlight w:val="none"/>
        </w:rPr>
        <w:t>养老保险费用的证明</w:t>
      </w:r>
      <w:r>
        <w:rPr>
          <w:rFonts w:hint="eastAsia" w:ascii="宋体" w:hAnsi="宋体"/>
          <w:sz w:val="24"/>
          <w:szCs w:val="24"/>
        </w:rPr>
        <w:t>材料</w:t>
      </w:r>
      <w:r>
        <w:rPr>
          <w:rFonts w:hint="eastAsia" w:ascii="宋体" w:hAnsi="宋体"/>
          <w:sz w:val="24"/>
          <w:szCs w:val="24"/>
          <w:lang w:eastAsia="zh-CN"/>
        </w:rPr>
        <w:t>。</w:t>
      </w:r>
    </w:p>
    <w:p w14:paraId="35EFD544">
      <w:pPr>
        <w:keepNext w:val="0"/>
        <w:keepLines w:val="0"/>
        <w:pageBreakBefore w:val="0"/>
        <w:widowControl w:val="0"/>
        <w:kinsoku/>
        <w:wordWrap/>
        <w:overflowPunct/>
        <w:topLinePunct w:val="0"/>
        <w:bidi w:val="0"/>
        <w:adjustRightInd w:val="0"/>
        <w:snapToGrid w:val="0"/>
        <w:spacing w:line="360" w:lineRule="auto"/>
        <w:ind w:left="0" w:leftChars="0" w:right="0" w:rightChars="0" w:firstLine="482" w:firstLineChars="200"/>
        <w:contextualSpacing/>
        <w:jc w:val="both"/>
        <w:textAlignment w:val="auto"/>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报价文件</w:t>
      </w:r>
      <w:r>
        <w:rPr>
          <w:rFonts w:hint="eastAsia" w:ascii="宋体" w:hAnsi="宋体"/>
          <w:sz w:val="24"/>
          <w:szCs w:val="24"/>
        </w:rPr>
        <w:t>（须</w:t>
      </w:r>
      <w:r>
        <w:rPr>
          <w:rFonts w:hint="eastAsia" w:ascii="宋体" w:hAnsi="宋体"/>
          <w:b/>
          <w:bCs/>
          <w:sz w:val="24"/>
          <w:szCs w:val="24"/>
        </w:rPr>
        <w:t>单独装订</w:t>
      </w:r>
      <w:r>
        <w:rPr>
          <w:rFonts w:hint="eastAsia" w:ascii="宋体" w:hAnsi="宋体"/>
          <w:sz w:val="24"/>
          <w:szCs w:val="24"/>
        </w:rPr>
        <w:t>编页码做目录，A4纸打印并在封面注明“报价文件”）</w:t>
      </w:r>
    </w:p>
    <w:p w14:paraId="4CD566F9">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bCs/>
          <w:sz w:val="24"/>
          <w:szCs w:val="24"/>
        </w:rPr>
      </w:pPr>
      <w:r>
        <w:rPr>
          <w:rFonts w:hint="eastAsia" w:ascii="宋体" w:hAnsi="宋体"/>
          <w:bCs/>
          <w:sz w:val="24"/>
          <w:szCs w:val="24"/>
        </w:rPr>
        <w:t>（1）投标函</w:t>
      </w:r>
    </w:p>
    <w:p w14:paraId="31DC2D0F">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bCs/>
          <w:sz w:val="24"/>
          <w:szCs w:val="24"/>
        </w:rPr>
      </w:pPr>
      <w:r>
        <w:rPr>
          <w:rFonts w:hint="eastAsia" w:ascii="宋体" w:hAnsi="宋体"/>
          <w:bCs/>
          <w:sz w:val="24"/>
          <w:szCs w:val="24"/>
        </w:rPr>
        <w:t>（2）授权委托书</w:t>
      </w:r>
    </w:p>
    <w:p w14:paraId="66B960AE">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color w:val="FF0000"/>
          <w:sz w:val="24"/>
          <w:szCs w:val="24"/>
        </w:rPr>
      </w:pPr>
      <w:r>
        <w:rPr>
          <w:rFonts w:hint="eastAsia" w:ascii="宋体" w:hAnsi="宋体"/>
          <w:bCs/>
          <w:sz w:val="24"/>
          <w:szCs w:val="24"/>
        </w:rPr>
        <w:t>（3）</w:t>
      </w:r>
      <w:r>
        <w:rPr>
          <w:rFonts w:hint="eastAsia" w:ascii="宋体" w:hAnsi="宋体"/>
          <w:sz w:val="24"/>
          <w:szCs w:val="24"/>
        </w:rPr>
        <w:t>投标报价</w:t>
      </w:r>
    </w:p>
    <w:p w14:paraId="70BED0F2">
      <w:pPr>
        <w:keepNext w:val="0"/>
        <w:keepLines w:val="0"/>
        <w:pageBreakBefore w:val="0"/>
        <w:widowControl w:val="0"/>
        <w:kinsoku/>
        <w:wordWrap/>
        <w:overflowPunct/>
        <w:topLinePunct w:val="0"/>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sz w:val="24"/>
          <w:szCs w:val="24"/>
        </w:rPr>
        <w:t>以上投标文件组成及报价要求将作为否决投标单位标书的重要条件。</w:t>
      </w:r>
    </w:p>
    <w:p w14:paraId="6362B6AB">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8"/>
          <w:szCs w:val="28"/>
        </w:rPr>
      </w:pPr>
      <w:bookmarkStart w:id="7" w:name="_Toc39744257"/>
      <w:r>
        <w:rPr>
          <w:rFonts w:hint="eastAsia"/>
          <w:b/>
          <w:sz w:val="28"/>
          <w:szCs w:val="28"/>
        </w:rPr>
        <w:t>（四）开标、</w:t>
      </w:r>
      <w:bookmarkEnd w:id="7"/>
      <w:r>
        <w:rPr>
          <w:rFonts w:hint="eastAsia"/>
          <w:b/>
          <w:sz w:val="28"/>
          <w:szCs w:val="28"/>
        </w:rPr>
        <w:t>评标</w:t>
      </w:r>
    </w:p>
    <w:p w14:paraId="5D06A78B">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1、开标时，招标方代表或监管部门或投标单位检查投标文件的密封情况，在确认无误后拆封读标。投标文件一经开封不得进行改动。</w:t>
      </w:r>
    </w:p>
    <w:p w14:paraId="63566F23">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2、初步评审要求：开标后，招标方将组织审查投标文件是否完整；是否有计算错误。投标文件出现下列情形之一的，将作为无效投标文件：</w:t>
      </w:r>
    </w:p>
    <w:p w14:paraId="05F2844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（1）投标文件不响应谈判文件要求的；</w:t>
      </w:r>
    </w:p>
    <w:p w14:paraId="43C98D95">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（2）投标函未盖投标人的企业及企业法定代表人印章并签字的，或者企业法定代表人委托代理人没有合法、有效的委托书（原件）及委托代理人印章并签字的；</w:t>
      </w:r>
    </w:p>
    <w:p w14:paraId="2649554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rPr>
        <w:t>（3）投标文件的关键内容模糊、无法辨认的</w:t>
      </w:r>
      <w:r>
        <w:rPr>
          <w:rFonts w:hint="eastAsia" w:ascii="宋体" w:hAnsi="宋体"/>
          <w:sz w:val="24"/>
          <w:szCs w:val="24"/>
          <w:lang w:eastAsia="zh-CN"/>
        </w:rPr>
        <w:t>。</w:t>
      </w:r>
    </w:p>
    <w:p w14:paraId="6659A84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3、评标小组先评审技术文件，后评审报价文件。</w:t>
      </w:r>
    </w:p>
    <w:p w14:paraId="1899DF66">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4、严格按照扬州大学附属医院采购管理暂行办法，组成项目评标小组。严格按招标文件，公平、公正、科学、严谨地对投标文件进行综合评定。</w:t>
      </w:r>
    </w:p>
    <w:p w14:paraId="621C0E97">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5、竞争性谈判程序：</w:t>
      </w:r>
    </w:p>
    <w:p w14:paraId="69689C15">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sz w:val="24"/>
          <w:szCs w:val="24"/>
        </w:rPr>
        <w:t>（1）资格审查；（2）投标单位自我介绍</w:t>
      </w:r>
      <w:r>
        <w:rPr>
          <w:rFonts w:hint="eastAsia" w:ascii="宋体" w:hAnsi="宋体"/>
          <w:b/>
          <w:sz w:val="24"/>
          <w:szCs w:val="24"/>
          <w:lang w:val="en-US" w:eastAsia="zh-CN"/>
        </w:rPr>
        <w:t>及产品介绍</w:t>
      </w:r>
      <w:r>
        <w:rPr>
          <w:rFonts w:hint="eastAsia" w:ascii="宋体" w:hAnsi="宋体"/>
          <w:b/>
          <w:sz w:val="24"/>
          <w:szCs w:val="24"/>
        </w:rPr>
        <w:t>；（3）</w:t>
      </w:r>
      <w:r>
        <w:rPr>
          <w:rFonts w:hint="eastAsia" w:ascii="宋体" w:hAnsi="宋体"/>
          <w:b/>
          <w:sz w:val="24"/>
          <w:szCs w:val="24"/>
          <w:lang w:val="en-US" w:eastAsia="zh-CN"/>
        </w:rPr>
        <w:t>二轮报价</w:t>
      </w:r>
      <w:r>
        <w:rPr>
          <w:rFonts w:hint="eastAsia" w:ascii="宋体" w:hAnsi="宋体"/>
          <w:b/>
          <w:sz w:val="24"/>
          <w:szCs w:val="24"/>
        </w:rPr>
        <w:t>谈判。</w:t>
      </w:r>
    </w:p>
    <w:p w14:paraId="6D38BAAD">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6、定标</w:t>
      </w:r>
    </w:p>
    <w:p w14:paraId="2648BDF9">
      <w:pPr>
        <w:keepNext w:val="0"/>
        <w:keepLines w:val="0"/>
        <w:pageBreakBefore w:val="0"/>
        <w:widowControl w:val="0"/>
        <w:kinsoku/>
        <w:wordWrap w:val="0"/>
        <w:overflowPunct/>
        <w:topLinePunct w:val="0"/>
        <w:autoSpaceDE/>
        <w:autoSpaceDN/>
        <w:bidi w:val="0"/>
        <w:spacing w:line="360" w:lineRule="auto"/>
        <w:ind w:left="0" w:leftChars="0" w:right="0" w:rightChars="0" w:firstLine="480" w:firstLineChars="200"/>
        <w:contextualSpacing/>
        <w:jc w:val="both"/>
        <w:textAlignment w:val="auto"/>
      </w:pPr>
      <w:r>
        <w:rPr>
          <w:rFonts w:hint="eastAsia" w:ascii="宋体" w:hAnsi="宋体"/>
          <w:sz w:val="24"/>
          <w:szCs w:val="24"/>
        </w:rPr>
        <w:t>根据综合评分进行排序，排名第一为中标单位。</w:t>
      </w:r>
      <w:bookmarkStart w:id="8" w:name="_Toc39744258"/>
    </w:p>
    <w:p w14:paraId="4FACCDFA">
      <w:pPr>
        <w:pStyle w:val="28"/>
      </w:pPr>
    </w:p>
    <w:p w14:paraId="3366C577">
      <w:pPr>
        <w:pStyle w:val="28"/>
      </w:pPr>
    </w:p>
    <w:p w14:paraId="79E17E21">
      <w:pPr>
        <w:rPr>
          <w:rFonts w:hint="eastAsia"/>
          <w:b/>
          <w:sz w:val="32"/>
          <w:szCs w:val="32"/>
        </w:rPr>
      </w:pPr>
      <w:r>
        <w:rPr>
          <w:rFonts w:hint="eastAsia"/>
          <w:b/>
          <w:sz w:val="32"/>
          <w:szCs w:val="32"/>
        </w:rPr>
        <w:br w:type="page"/>
      </w:r>
    </w:p>
    <w:p w14:paraId="08B23150">
      <w:pPr>
        <w:wordWrap w:val="0"/>
        <w:spacing w:line="440" w:lineRule="exact"/>
        <w:ind w:left="424" w:leftChars="202" w:right="531" w:rightChars="253" w:firstLine="553" w:firstLineChars="172"/>
        <w:contextualSpacing/>
        <w:jc w:val="center"/>
        <w:rPr>
          <w:rFonts w:ascii="宋体" w:hAnsi="宋体"/>
          <w:b/>
          <w:sz w:val="32"/>
          <w:szCs w:val="32"/>
        </w:rPr>
      </w:pPr>
      <w:r>
        <w:rPr>
          <w:rFonts w:hint="eastAsia"/>
          <w:b/>
          <w:sz w:val="32"/>
          <w:szCs w:val="32"/>
        </w:rPr>
        <w:t>四、投标文件格式及附件要求</w:t>
      </w:r>
      <w:bookmarkEnd w:id="8"/>
    </w:p>
    <w:p w14:paraId="371A7DB0">
      <w:pPr>
        <w:jc w:val="center"/>
        <w:rPr>
          <w:b/>
          <w:sz w:val="36"/>
          <w:szCs w:val="36"/>
        </w:rPr>
      </w:pPr>
    </w:p>
    <w:p w14:paraId="0E54A88D">
      <w:pPr>
        <w:jc w:val="center"/>
        <w:rPr>
          <w:rFonts w:ascii="宋体" w:hAnsi="宋体"/>
          <w:b/>
          <w:sz w:val="36"/>
          <w:szCs w:val="36"/>
          <w:u w:val="single"/>
        </w:rPr>
      </w:pPr>
      <w:r>
        <w:rPr>
          <w:rFonts w:hint="eastAsia"/>
          <w:b/>
          <w:sz w:val="36"/>
          <w:szCs w:val="36"/>
        </w:rPr>
        <w:t>目录</w:t>
      </w:r>
    </w:p>
    <w:p w14:paraId="60D2D40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（一）资格审查</w:t>
      </w:r>
    </w:p>
    <w:p w14:paraId="131C1F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1、针对本项目的授权委托书原件；</w:t>
      </w:r>
    </w:p>
    <w:p w14:paraId="38F9011A">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2、企业法人营业执照；</w:t>
      </w:r>
    </w:p>
    <w:p w14:paraId="43AC0B93">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3、企业资质证书；</w:t>
      </w:r>
    </w:p>
    <w:p w14:paraId="3A44EB0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color w:val="auto"/>
          <w:sz w:val="24"/>
          <w:szCs w:val="24"/>
        </w:rPr>
      </w:pPr>
      <w:r>
        <w:rPr>
          <w:rFonts w:hint="eastAsia" w:asciiTheme="majorEastAsia" w:hAnsiTheme="majorEastAsia" w:eastAsiaTheme="majorEastAsia" w:cstheme="majorEastAsia"/>
          <w:snapToGrid w:val="0"/>
          <w:sz w:val="24"/>
          <w:szCs w:val="24"/>
          <w:highlight w:val="none"/>
        </w:rPr>
        <w:t>4、由社保部</w:t>
      </w:r>
      <w:r>
        <w:rPr>
          <w:rFonts w:hint="eastAsia" w:asciiTheme="majorEastAsia" w:hAnsiTheme="majorEastAsia" w:eastAsiaTheme="majorEastAsia" w:cstheme="majorEastAsia"/>
          <w:snapToGrid w:val="0"/>
          <w:color w:val="auto"/>
          <w:sz w:val="24"/>
          <w:szCs w:val="24"/>
          <w:highlight w:val="none"/>
        </w:rPr>
        <w:t>门出具的投标人为经办人及投标报名项目负责人缴纳的</w:t>
      </w:r>
      <w:r>
        <w:rPr>
          <w:rFonts w:hint="eastAsia" w:asciiTheme="majorEastAsia" w:hAnsiTheme="majorEastAsia" w:eastAsiaTheme="majorEastAsia" w:cstheme="majorEastAsia"/>
          <w:snapToGrid w:val="0"/>
          <w:color w:val="auto"/>
          <w:sz w:val="24"/>
          <w:szCs w:val="24"/>
          <w:highlight w:val="none"/>
          <w:lang w:val="en-US" w:eastAsia="zh-CN"/>
        </w:rPr>
        <w:t>近三个月任意一个月</w:t>
      </w:r>
      <w:r>
        <w:rPr>
          <w:rFonts w:hint="eastAsia" w:asciiTheme="majorEastAsia" w:hAnsiTheme="majorEastAsia" w:eastAsiaTheme="majorEastAsia" w:cstheme="majorEastAsia"/>
          <w:snapToGrid w:val="0"/>
          <w:color w:val="auto"/>
          <w:sz w:val="24"/>
          <w:szCs w:val="24"/>
          <w:highlight w:val="none"/>
        </w:rPr>
        <w:t>养老保险费用</w:t>
      </w:r>
      <w:r>
        <w:rPr>
          <w:rFonts w:hint="eastAsia" w:asciiTheme="majorEastAsia" w:hAnsiTheme="majorEastAsia" w:eastAsiaTheme="majorEastAsia" w:cstheme="majorEastAsia"/>
          <w:snapToGrid w:val="0"/>
          <w:color w:val="auto"/>
          <w:sz w:val="24"/>
          <w:szCs w:val="24"/>
        </w:rPr>
        <w:t>的证明材料；</w:t>
      </w:r>
    </w:p>
    <w:p w14:paraId="00F9699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color w:val="auto"/>
          <w:sz w:val="24"/>
          <w:szCs w:val="24"/>
        </w:rPr>
        <w:t>5、投标单位不在供</w:t>
      </w:r>
      <w:r>
        <w:rPr>
          <w:rFonts w:hint="eastAsia" w:asciiTheme="majorEastAsia" w:hAnsiTheme="majorEastAsia" w:eastAsiaTheme="majorEastAsia" w:cstheme="majorEastAsia"/>
          <w:snapToGrid w:val="0"/>
          <w:sz w:val="24"/>
          <w:szCs w:val="24"/>
        </w:rPr>
        <w:t>应商被“信用中国”网站（www.creditchina.gov.cn）、“中国政府采购网</w:t>
      </w:r>
      <w:r>
        <w:rPr>
          <w:rFonts w:hint="eastAsia" w:asciiTheme="majorEastAsia" w:hAnsiTheme="majorEastAsia" w:eastAsiaTheme="majorEastAsia" w:cstheme="majorEastAsia"/>
          <w:snapToGrid w:val="0"/>
          <w:sz w:val="24"/>
          <w:szCs w:val="24"/>
          <w:lang w:eastAsia="zh-CN"/>
        </w:rPr>
        <w:t>”</w:t>
      </w:r>
      <w:r>
        <w:rPr>
          <w:rFonts w:hint="eastAsia" w:asciiTheme="majorEastAsia" w:hAnsiTheme="majorEastAsia" w:eastAsiaTheme="majorEastAsia" w:cstheme="majorEastAsia"/>
          <w:snapToGrid w:val="0"/>
          <w:sz w:val="24"/>
          <w:szCs w:val="24"/>
        </w:rPr>
        <w:t>(www.ccgp.gov.cn)列入失信被执行人、重大税收违法案件当事人名单、政府采购严重违法失信行为记录名单的截图，并盖章。</w:t>
      </w:r>
    </w:p>
    <w:p w14:paraId="16AE4887">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6、需求响应表（格式自拟）；</w:t>
      </w:r>
    </w:p>
    <w:p w14:paraId="3721309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7、投标人认为需要提供的其他材料。</w:t>
      </w:r>
    </w:p>
    <w:p w14:paraId="7B53F3C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（二）报价文件</w:t>
      </w:r>
    </w:p>
    <w:p w14:paraId="5EBD2A02">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1、投标函</w:t>
      </w:r>
    </w:p>
    <w:p w14:paraId="1A0183FE">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2、授权委托书</w:t>
      </w:r>
    </w:p>
    <w:p w14:paraId="4731650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3</w:t>
      </w:r>
      <w:r>
        <w:rPr>
          <w:rFonts w:hint="eastAsia" w:asciiTheme="majorEastAsia" w:hAnsiTheme="majorEastAsia" w:eastAsiaTheme="majorEastAsia" w:cstheme="majorEastAsia"/>
          <w:snapToGrid w:val="0"/>
          <w:sz w:val="24"/>
          <w:szCs w:val="24"/>
        </w:rPr>
        <w:t>、投标报价</w:t>
      </w:r>
    </w:p>
    <w:p w14:paraId="4CFD17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4</w:t>
      </w:r>
      <w:r>
        <w:rPr>
          <w:rFonts w:hint="eastAsia" w:asciiTheme="majorEastAsia" w:hAnsiTheme="majorEastAsia" w:eastAsiaTheme="majorEastAsia" w:cstheme="majorEastAsia"/>
          <w:snapToGrid w:val="0"/>
          <w:sz w:val="24"/>
          <w:szCs w:val="24"/>
        </w:rPr>
        <w:t>、供应商廉洁自律承诺书</w:t>
      </w:r>
    </w:p>
    <w:p w14:paraId="248338A6">
      <w:pPr>
        <w:pStyle w:val="28"/>
        <w:keepNext w:val="0"/>
        <w:keepLines w:val="0"/>
        <w:pageBreakBefore w:val="0"/>
        <w:widowControl w:val="0"/>
        <w:kinsoku/>
        <w:wordWrap/>
        <w:overflowPunct/>
        <w:topLinePunct w:val="0"/>
        <w:bidi w:val="0"/>
        <w:adjustRightInd w:val="0"/>
        <w:spacing w:line="440" w:lineRule="exact"/>
        <w:textAlignment w:val="auto"/>
      </w:pPr>
    </w:p>
    <w:p w14:paraId="5920ED21">
      <w:pPr>
        <w:pStyle w:val="28"/>
      </w:pPr>
    </w:p>
    <w:p w14:paraId="5F35E700">
      <w:pPr>
        <w:adjustRightInd w:val="0"/>
        <w:snapToGrid w:val="0"/>
        <w:spacing w:line="440" w:lineRule="exact"/>
        <w:ind w:left="424" w:leftChars="202" w:firstLine="371" w:firstLineChars="177"/>
        <w:contextualSpacing/>
        <w:rPr>
          <w:rFonts w:ascii="宋体" w:hAnsi="宋体"/>
          <w:bCs/>
          <w:szCs w:val="21"/>
        </w:rPr>
      </w:pPr>
    </w:p>
    <w:p w14:paraId="31EBC6F0">
      <w:pPr>
        <w:tabs>
          <w:tab w:val="left" w:pos="1300"/>
          <w:tab w:val="left" w:pos="1600"/>
        </w:tabs>
        <w:spacing w:line="560" w:lineRule="exact"/>
        <w:ind w:firstLine="420" w:firstLineChars="200"/>
        <w:rPr>
          <w:rFonts w:ascii="宋体" w:hAnsi="宋体"/>
          <w:bCs/>
          <w:szCs w:val="21"/>
        </w:rPr>
      </w:pPr>
    </w:p>
    <w:p w14:paraId="3D3BBA28">
      <w:pPr>
        <w:tabs>
          <w:tab w:val="left" w:pos="1300"/>
          <w:tab w:val="left" w:pos="1600"/>
        </w:tabs>
        <w:spacing w:line="560" w:lineRule="exact"/>
        <w:ind w:firstLine="420" w:firstLineChars="200"/>
        <w:rPr>
          <w:rFonts w:ascii="宋体" w:hAnsi="宋体"/>
          <w:bCs/>
          <w:szCs w:val="21"/>
        </w:rPr>
      </w:pPr>
    </w:p>
    <w:p w14:paraId="3761699F">
      <w:pPr>
        <w:tabs>
          <w:tab w:val="left" w:pos="1300"/>
          <w:tab w:val="left" w:pos="1600"/>
        </w:tabs>
        <w:spacing w:line="560" w:lineRule="exact"/>
        <w:ind w:firstLine="480" w:firstLineChars="200"/>
        <w:rPr>
          <w:rFonts w:ascii="宋体" w:hAnsi="宋体"/>
          <w:snapToGrid w:val="0"/>
          <w:sz w:val="24"/>
        </w:rPr>
      </w:pPr>
    </w:p>
    <w:p w14:paraId="2F1DD17A">
      <w:pPr>
        <w:pStyle w:val="10"/>
        <w:rPr>
          <w:rFonts w:ascii="黑体" w:hAnsi="Times New Roman" w:eastAsia="黑体"/>
          <w:b/>
          <w:sz w:val="36"/>
        </w:rPr>
      </w:pPr>
    </w:p>
    <w:p w14:paraId="25FA118F">
      <w:pPr>
        <w:pStyle w:val="10"/>
        <w:rPr>
          <w:rFonts w:ascii="黑体" w:hAnsi="Times New Roman" w:eastAsia="黑体"/>
          <w:b/>
          <w:sz w:val="36"/>
        </w:rPr>
      </w:pPr>
    </w:p>
    <w:p w14:paraId="0580656F">
      <w:pPr>
        <w:pStyle w:val="10"/>
        <w:rPr>
          <w:rFonts w:ascii="黑体" w:hAnsi="Times New Roman" w:eastAsia="黑体"/>
          <w:b/>
          <w:sz w:val="36"/>
        </w:rPr>
      </w:pPr>
    </w:p>
    <w:p w14:paraId="28874FA8">
      <w:pPr>
        <w:spacing w:line="360" w:lineRule="auto"/>
        <w:ind w:firstLine="3975" w:firstLineChars="1100"/>
        <w:rPr>
          <w:rFonts w:ascii="宋体" w:hAnsi="宋体"/>
          <w:b/>
          <w:sz w:val="36"/>
          <w:szCs w:val="36"/>
        </w:rPr>
      </w:pPr>
      <w:r>
        <w:rPr>
          <w:rFonts w:hint="eastAsia" w:hAnsi="宋体"/>
          <w:b/>
          <w:sz w:val="36"/>
        </w:rPr>
        <w:t xml:space="preserve">  </w:t>
      </w:r>
      <w:r>
        <w:rPr>
          <w:rFonts w:hint="eastAsia" w:ascii="宋体" w:hAnsi="宋体"/>
          <w:b/>
          <w:sz w:val="36"/>
          <w:szCs w:val="36"/>
        </w:rPr>
        <w:t>投标函</w:t>
      </w:r>
    </w:p>
    <w:p w14:paraId="1E664F6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w:t>
      </w:r>
      <w:r>
        <w:rPr>
          <w:rFonts w:hint="eastAsia" w:asciiTheme="minorEastAsia" w:hAnsiTheme="minorEastAsia" w:eastAsiaTheme="minorEastAsia" w:cstheme="minorEastAsia"/>
          <w:sz w:val="24"/>
          <w:szCs w:val="24"/>
          <w:u w:val="single"/>
        </w:rPr>
        <w:t xml:space="preserve">扬州大学附属医院 </w:t>
      </w:r>
    </w:p>
    <w:p w14:paraId="4009B4E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根据已收到贵方的</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bCs/>
          <w:sz w:val="24"/>
          <w:szCs w:val="24"/>
        </w:rPr>
        <w:t>项目的院内公开谈判文件，遵照扬州大学采购管理暂行办法，我单位经研究上述院内公开谈判文件的投标须知、合同条件、技术规范、和其他有关文件后，我方投标报价为</w:t>
      </w:r>
    </w:p>
    <w:p w14:paraId="11487A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万元</w:t>
      </w:r>
      <w:r>
        <w:rPr>
          <w:rFonts w:hint="eastAsia" w:asciiTheme="minorEastAsia" w:hAnsiTheme="minorEastAsia" w:eastAsiaTheme="minorEastAsia" w:cstheme="minorEastAsia"/>
          <w:bCs/>
          <w:sz w:val="24"/>
          <w:szCs w:val="24"/>
        </w:rPr>
        <w:t>。</w:t>
      </w:r>
    </w:p>
    <w:p w14:paraId="7732BFEC">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textAlignment w:val="auto"/>
        <w:rPr>
          <w:rFonts w:hint="eastAsia" w:asciiTheme="minorEastAsia" w:hAnsiTheme="minorEastAsia" w:eastAsiaTheme="minorEastAsia" w:cstheme="minorEastAsia"/>
          <w:bCs/>
          <w:sz w:val="24"/>
          <w:szCs w:val="24"/>
        </w:rPr>
      </w:pPr>
    </w:p>
    <w:p w14:paraId="651034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投标人（盖章）：</w:t>
      </w:r>
    </w:p>
    <w:p w14:paraId="1E5207EA">
      <w:pPr>
        <w:pStyle w:val="28"/>
        <w:rPr>
          <w:rFonts w:hint="eastAsia"/>
        </w:rPr>
      </w:pPr>
    </w:p>
    <w:p w14:paraId="738D9E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法定代表人或授权委托人（签字）：</w:t>
      </w:r>
    </w:p>
    <w:p w14:paraId="4ED79E1F">
      <w:pPr>
        <w:pStyle w:val="28"/>
        <w:rPr>
          <w:rFonts w:hint="eastAsia"/>
        </w:rPr>
      </w:pPr>
    </w:p>
    <w:p w14:paraId="0C878A3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  期：</w:t>
      </w:r>
    </w:p>
    <w:p w14:paraId="39EC2E82">
      <w:pPr>
        <w:rPr>
          <w:rFonts w:hint="eastAsia" w:hAnsi="宋体"/>
          <w:b/>
          <w:sz w:val="36"/>
        </w:rPr>
      </w:pPr>
      <w:r>
        <w:rPr>
          <w:rFonts w:hint="eastAsia" w:hAnsi="宋体"/>
          <w:b/>
          <w:sz w:val="36"/>
        </w:rPr>
        <w:br w:type="page"/>
      </w:r>
    </w:p>
    <w:p w14:paraId="443C95E4">
      <w:pPr>
        <w:pStyle w:val="10"/>
        <w:jc w:val="center"/>
        <w:rPr>
          <w:rFonts w:hAnsi="宋体"/>
          <w:b/>
          <w:sz w:val="36"/>
        </w:rPr>
      </w:pPr>
      <w:r>
        <w:rPr>
          <w:rFonts w:hint="eastAsia" w:hAnsi="宋体"/>
          <w:b/>
          <w:sz w:val="36"/>
        </w:rPr>
        <w:t>授权</w:t>
      </w:r>
      <w:r>
        <w:rPr>
          <w:rFonts w:hint="eastAsia" w:hAnsi="宋体"/>
          <w:b/>
          <w:sz w:val="36"/>
          <w:lang w:val="en-US" w:eastAsia="zh-CN"/>
        </w:rPr>
        <w:t>委托</w:t>
      </w:r>
      <w:r>
        <w:rPr>
          <w:rFonts w:hint="eastAsia" w:hAnsi="宋体"/>
          <w:b/>
          <w:sz w:val="36"/>
        </w:rPr>
        <w:t>书</w:t>
      </w:r>
    </w:p>
    <w:p w14:paraId="634F19FA">
      <w:pPr>
        <w:pStyle w:val="10"/>
        <w:jc w:val="center"/>
        <w:rPr>
          <w:rFonts w:hAnsi="宋体"/>
          <w:b/>
          <w:sz w:val="24"/>
          <w:szCs w:val="24"/>
        </w:rPr>
      </w:pPr>
    </w:p>
    <w:p w14:paraId="5501123D">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sz w:val="24"/>
          <w:szCs w:val="24"/>
        </w:rPr>
      </w:pPr>
      <w:r>
        <w:rPr>
          <w:rFonts w:hint="eastAsia" w:hAnsi="宋体"/>
          <w:sz w:val="24"/>
          <w:szCs w:val="24"/>
        </w:rPr>
        <w:t>本授权委托书声明：我</w:t>
      </w:r>
      <w:r>
        <w:rPr>
          <w:rFonts w:hAnsi="宋体"/>
          <w:sz w:val="24"/>
          <w:szCs w:val="24"/>
        </w:rPr>
        <w:t>(</w:t>
      </w:r>
      <w:r>
        <w:rPr>
          <w:rFonts w:hint="eastAsia" w:hAnsi="宋体"/>
          <w:sz w:val="24"/>
          <w:szCs w:val="24"/>
        </w:rPr>
        <w:t>姓名</w:t>
      </w:r>
      <w:r>
        <w:rPr>
          <w:rFonts w:hAnsi="宋体"/>
          <w:sz w:val="24"/>
          <w:szCs w:val="24"/>
        </w:rPr>
        <w:t>)</w:t>
      </w:r>
      <w:r>
        <w:rPr>
          <w:rFonts w:hint="eastAsia" w:hAnsi="宋体"/>
          <w:sz w:val="24"/>
          <w:szCs w:val="24"/>
          <w:u w:val="single"/>
        </w:rPr>
        <w:t xml:space="preserve">          </w:t>
      </w:r>
      <w:r>
        <w:rPr>
          <w:rFonts w:hint="eastAsia" w:hAnsi="宋体"/>
          <w:sz w:val="24"/>
          <w:szCs w:val="24"/>
        </w:rPr>
        <w:t>系</w:t>
      </w:r>
      <w:r>
        <w:rPr>
          <w:rFonts w:hAnsi="宋体"/>
          <w:sz w:val="24"/>
          <w:szCs w:val="24"/>
        </w:rPr>
        <w:t>(</w:t>
      </w:r>
      <w:r>
        <w:rPr>
          <w:rFonts w:hint="eastAsia" w:hAnsi="宋体"/>
          <w:sz w:val="24"/>
          <w:szCs w:val="24"/>
        </w:rPr>
        <w:t>投标人名称</w:t>
      </w:r>
      <w:r>
        <w:rPr>
          <w:rFonts w:hAnsi="宋体"/>
          <w:sz w:val="24"/>
          <w:szCs w:val="24"/>
        </w:rPr>
        <w:t>)</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int="eastAsia" w:hAnsi="宋体"/>
          <w:sz w:val="24"/>
          <w:szCs w:val="24"/>
        </w:rPr>
        <w:t>的法定代表人，现授权委托我单位的(姓名)</w:t>
      </w:r>
      <w:r>
        <w:rPr>
          <w:rFonts w:hint="eastAsia" w:hAnsi="宋体"/>
          <w:sz w:val="24"/>
          <w:szCs w:val="24"/>
          <w:u w:val="single"/>
        </w:rPr>
        <w:t xml:space="preserve">          </w:t>
      </w:r>
      <w:r>
        <w:rPr>
          <w:rFonts w:hint="eastAsia" w:hAnsi="宋体"/>
          <w:sz w:val="24"/>
          <w:szCs w:val="24"/>
        </w:rPr>
        <w:t>为我公司代理人。代理人在</w:t>
      </w:r>
    </w:p>
    <w:p w14:paraId="6CA476F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Ansi="宋体"/>
          <w:sz w:val="24"/>
          <w:szCs w:val="24"/>
          <w:u w:val="single"/>
        </w:rPr>
      </w:pPr>
      <w:r>
        <w:rPr>
          <w:rFonts w:hint="eastAsia" w:hAnsi="宋体"/>
          <w:sz w:val="24"/>
          <w:szCs w:val="24"/>
          <w:u w:val="single"/>
        </w:rPr>
        <w:t xml:space="preserve">                       </w:t>
      </w:r>
      <w:r>
        <w:rPr>
          <w:rFonts w:hint="eastAsia" w:hAnsi="宋体"/>
          <w:sz w:val="24"/>
          <w:szCs w:val="24"/>
        </w:rPr>
        <w:t>项目院内公开谈判活动中所签署的一切文件和处理与之有关的一切事务，我均予以承认。</w:t>
      </w:r>
    </w:p>
    <w:p w14:paraId="7C74D830">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代理人无转委权。特此委托。</w:t>
      </w:r>
    </w:p>
    <w:p w14:paraId="24D4DFBB">
      <w:pPr>
        <w:pStyle w:val="10"/>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hAnsi="宋体"/>
          <w:sz w:val="24"/>
          <w:szCs w:val="24"/>
        </w:rPr>
      </w:pPr>
    </w:p>
    <w:p w14:paraId="2996B063">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投标人：</w:t>
      </w:r>
      <w:r>
        <w:rPr>
          <w:rFonts w:hAnsi="宋体"/>
          <w:sz w:val="24"/>
          <w:szCs w:val="24"/>
        </w:rPr>
        <w:t>(</w:t>
      </w:r>
      <w:r>
        <w:rPr>
          <w:rFonts w:hint="eastAsia" w:hAnsi="宋体"/>
          <w:sz w:val="24"/>
          <w:szCs w:val="24"/>
        </w:rPr>
        <w:t>盖章</w:t>
      </w:r>
      <w:r>
        <w:rPr>
          <w:rFonts w:hAnsi="宋体"/>
          <w:sz w:val="24"/>
          <w:szCs w:val="24"/>
        </w:rPr>
        <w:t>)</w:t>
      </w:r>
    </w:p>
    <w:p w14:paraId="082B8992">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14F97EB0">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法定代表人：</w:t>
      </w:r>
      <w:r>
        <w:rPr>
          <w:rFonts w:hAnsi="宋体"/>
          <w:sz w:val="24"/>
          <w:szCs w:val="24"/>
        </w:rPr>
        <w:t>(</w:t>
      </w:r>
      <w:r>
        <w:rPr>
          <w:rFonts w:hint="eastAsia" w:hAnsi="宋体"/>
          <w:sz w:val="24"/>
          <w:szCs w:val="24"/>
        </w:rPr>
        <w:t>签字</w:t>
      </w:r>
      <w:r>
        <w:rPr>
          <w:rFonts w:hAnsi="宋体"/>
          <w:sz w:val="24"/>
          <w:szCs w:val="24"/>
        </w:rPr>
        <w:t>)</w:t>
      </w:r>
    </w:p>
    <w:p w14:paraId="427DECAC">
      <w:pPr>
        <w:pStyle w:val="10"/>
        <w:spacing w:line="480" w:lineRule="auto"/>
        <w:ind w:firstLine="360" w:firstLineChars="150"/>
        <w:rPr>
          <w:rFonts w:hAnsi="宋体"/>
          <w:sz w:val="24"/>
          <w:szCs w:val="24"/>
        </w:rPr>
      </w:pPr>
    </w:p>
    <w:p w14:paraId="73ED47F1">
      <w:pPr>
        <w:pStyle w:val="10"/>
        <w:spacing w:line="480" w:lineRule="auto"/>
        <w:ind w:firstLine="6600" w:firstLineChars="2750"/>
        <w:rPr>
          <w:rFonts w:hAnsi="宋体"/>
          <w:sz w:val="24"/>
          <w:szCs w:val="24"/>
        </w:rPr>
      </w:pPr>
      <w:r>
        <w:rPr>
          <w:rFonts w:hint="eastAsia" w:hAnsi="宋体"/>
          <w:sz w:val="24"/>
          <w:szCs w:val="24"/>
        </w:rPr>
        <w:t xml:space="preserve">日期： </w:t>
      </w:r>
      <w:r>
        <w:rPr>
          <w:rFonts w:hint="eastAsia" w:hAnsi="宋体"/>
          <w:sz w:val="24"/>
          <w:szCs w:val="24"/>
          <w:lang w:val="en-US" w:eastAsia="zh-CN"/>
        </w:rPr>
        <w:t xml:space="preserve">  </w:t>
      </w:r>
      <w:r>
        <w:rPr>
          <w:rFonts w:hint="eastAsia" w:hAnsi="宋体"/>
          <w:sz w:val="24"/>
          <w:szCs w:val="24"/>
        </w:rPr>
        <w:t>年   月    日</w:t>
      </w:r>
    </w:p>
    <w:p w14:paraId="5EE3923D">
      <w:pPr>
        <w:pStyle w:val="10"/>
        <w:spacing w:line="480" w:lineRule="auto"/>
        <w:rPr>
          <w:rFonts w:hint="eastAsia" w:hAnsi="宋体"/>
          <w:sz w:val="24"/>
          <w:szCs w:val="24"/>
        </w:rPr>
      </w:pPr>
    </w:p>
    <w:p w14:paraId="6E77CEE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代理人姓名：签字：</w:t>
      </w:r>
    </w:p>
    <w:p w14:paraId="5FDE7D7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054A69E4">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身份证复印件：</w:t>
      </w:r>
    </w:p>
    <w:p w14:paraId="12CCF2D3">
      <w:pPr>
        <w:spacing w:line="400" w:lineRule="exact"/>
        <w:ind w:firstLine="480" w:firstLineChars="200"/>
        <w:rPr>
          <w:rFonts w:ascii="宋体" w:hAnsi="宋体"/>
          <w:sz w:val="24"/>
        </w:rPr>
      </w:pPr>
    </w:p>
    <w:p w14:paraId="5B8C3575">
      <w:pPr>
        <w:spacing w:line="400" w:lineRule="exact"/>
        <w:rPr>
          <w:rFonts w:ascii="宋体" w:hAnsi="宋体"/>
          <w:sz w:val="28"/>
        </w:rPr>
      </w:pPr>
    </w:p>
    <w:p w14:paraId="2CEBBB2C">
      <w:pPr>
        <w:spacing w:line="400" w:lineRule="exact"/>
        <w:rPr>
          <w:rFonts w:ascii="宋体" w:hAnsi="宋体"/>
          <w:sz w:val="28"/>
        </w:rPr>
      </w:pPr>
    </w:p>
    <w:p w14:paraId="6A784F83">
      <w:pPr>
        <w:spacing w:line="500" w:lineRule="exact"/>
        <w:jc w:val="center"/>
        <w:rPr>
          <w:rFonts w:ascii="黑体" w:eastAsia="黑体"/>
          <w:b/>
          <w:bCs/>
          <w:sz w:val="36"/>
          <w:szCs w:val="36"/>
        </w:rPr>
      </w:pPr>
    </w:p>
    <w:p w14:paraId="248F4E33">
      <w:pPr>
        <w:pStyle w:val="10"/>
        <w:jc w:val="center"/>
        <w:rPr>
          <w:rFonts w:ascii="黑体" w:hAnsi="Times New Roman" w:eastAsia="黑体"/>
          <w:b/>
          <w:sz w:val="36"/>
        </w:rPr>
      </w:pPr>
    </w:p>
    <w:p w14:paraId="28B7CCCD">
      <w:pPr>
        <w:pStyle w:val="10"/>
        <w:jc w:val="center"/>
        <w:rPr>
          <w:rFonts w:ascii="黑体" w:hAnsi="Times New Roman" w:eastAsia="黑体"/>
          <w:b/>
          <w:sz w:val="36"/>
        </w:rPr>
      </w:pPr>
    </w:p>
    <w:p w14:paraId="2E3898E2">
      <w:pPr>
        <w:pStyle w:val="10"/>
        <w:jc w:val="center"/>
        <w:rPr>
          <w:rFonts w:ascii="黑体" w:hAnsi="Times New Roman" w:eastAsia="黑体"/>
          <w:b/>
          <w:sz w:val="36"/>
        </w:rPr>
      </w:pPr>
    </w:p>
    <w:p w14:paraId="4C4DE9B9">
      <w:pPr>
        <w:pStyle w:val="10"/>
        <w:rPr>
          <w:rFonts w:ascii="黑体" w:eastAsia="黑体"/>
          <w:b/>
          <w:bCs/>
          <w:sz w:val="36"/>
          <w:szCs w:val="36"/>
        </w:rPr>
      </w:pPr>
    </w:p>
    <w:p w14:paraId="640C2CF4">
      <w:pPr>
        <w:pStyle w:val="11"/>
        <w:widowControl/>
        <w:spacing w:line="540" w:lineRule="exact"/>
        <w:ind w:left="0" w:leftChars="0"/>
        <w:jc w:val="center"/>
        <w:rPr>
          <w:rFonts w:ascii="宋体" w:hAnsi="宋体" w:eastAsia="宋体"/>
          <w:sz w:val="36"/>
          <w:szCs w:val="36"/>
        </w:rPr>
      </w:pPr>
      <w:r>
        <w:rPr>
          <w:rFonts w:hint="eastAsia" w:ascii="宋体" w:hAnsi="宋体"/>
          <w:b w:val="0"/>
          <w:bCs w:val="0"/>
          <w:szCs w:val="32"/>
        </w:rPr>
        <w:br w:type="page"/>
      </w:r>
      <w:r>
        <w:rPr>
          <w:rFonts w:hint="eastAsia" w:ascii="宋体" w:hAnsi="宋体" w:eastAsia="宋体"/>
          <w:sz w:val="36"/>
          <w:szCs w:val="36"/>
        </w:rPr>
        <w:t>承诺书(一)</w:t>
      </w:r>
    </w:p>
    <w:p w14:paraId="4225892C">
      <w:pPr>
        <w:spacing w:line="540" w:lineRule="exact"/>
      </w:pPr>
    </w:p>
    <w:p w14:paraId="350C327B">
      <w:pPr>
        <w:adjustRightInd w:val="0"/>
        <w:snapToGrid w:val="0"/>
        <w:spacing w:line="440" w:lineRule="exact"/>
        <w:ind w:left="424" w:leftChars="202" w:right="531" w:rightChars="253" w:firstLine="424" w:firstLineChars="177"/>
        <w:contextualSpacing/>
        <w:rPr>
          <w:sz w:val="24"/>
        </w:rPr>
      </w:pPr>
      <w:r>
        <w:rPr>
          <w:rFonts w:hint="eastAsia"/>
          <w:sz w:val="24"/>
        </w:rPr>
        <w:t>致：</w:t>
      </w:r>
      <w:r>
        <w:rPr>
          <w:rFonts w:hint="eastAsia"/>
          <w:sz w:val="24"/>
          <w:u w:val="single"/>
        </w:rPr>
        <w:t>扬州大学附属医院</w:t>
      </w:r>
      <w:r>
        <w:rPr>
          <w:rFonts w:hint="eastAsia"/>
          <w:sz w:val="24"/>
        </w:rPr>
        <w:t>（招标人名称）</w:t>
      </w:r>
    </w:p>
    <w:p w14:paraId="2FF955D4">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我公司自愿参加贵单位</w:t>
      </w:r>
      <w:r>
        <w:rPr>
          <w:rFonts w:hint="eastAsia" w:ascii="宋体" w:hAnsi="宋体"/>
          <w:b/>
          <w:sz w:val="24"/>
          <w:u w:val="single"/>
        </w:rPr>
        <w:t xml:space="preserve">                        </w:t>
      </w:r>
      <w:r>
        <w:rPr>
          <w:rFonts w:hint="eastAsia" w:ascii="宋体" w:hAnsi="宋体"/>
          <w:sz w:val="24"/>
        </w:rPr>
        <w:t>项目的院内公开谈判，并接受对我公司的资格审查，我公司承诺：根据贵单位提出的资格审查合格条件标准和要求，本公司没有因骗取中标或者严重违约以及发生重大工程质量、安全生产事故等问题，被有关部门暂停投标资格并在暂停期内。</w:t>
      </w:r>
    </w:p>
    <w:p w14:paraId="0B5E61E3">
      <w:pPr>
        <w:adjustRightInd w:val="0"/>
        <w:snapToGrid w:val="0"/>
        <w:spacing w:line="440" w:lineRule="exact"/>
        <w:ind w:left="424" w:leftChars="202" w:right="531" w:rightChars="253" w:firstLine="424" w:firstLineChars="177"/>
        <w:contextualSpacing/>
        <w:rPr>
          <w:sz w:val="24"/>
        </w:rPr>
      </w:pPr>
      <w:r>
        <w:rPr>
          <w:rFonts w:hint="eastAsia" w:ascii="宋体" w:hAnsi="宋体"/>
          <w:sz w:val="24"/>
        </w:rPr>
        <w:t>本公司递交的资格审查申请书中的内容没有隐瞒、虚假、伪造等弄虚作假行为。</w:t>
      </w:r>
    </w:p>
    <w:p w14:paraId="3EDDF9F6">
      <w:pPr>
        <w:pStyle w:val="11"/>
        <w:widowControl/>
        <w:adjustRightInd w:val="0"/>
        <w:snapToGrid w:val="0"/>
        <w:spacing w:line="440" w:lineRule="exact"/>
        <w:ind w:left="424" w:leftChars="202" w:right="531" w:rightChars="253" w:firstLine="426" w:firstLineChars="177"/>
        <w:contextualSpacing/>
        <w:jc w:val="left"/>
        <w:rPr>
          <w:rFonts w:ascii="宋体" w:hAnsi="宋体" w:eastAsia="宋体"/>
          <w:sz w:val="24"/>
        </w:rPr>
      </w:pPr>
    </w:p>
    <w:p w14:paraId="64CB2A8E">
      <w:pPr>
        <w:pStyle w:val="11"/>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单位：（公章）</w:t>
      </w:r>
    </w:p>
    <w:p w14:paraId="612C81C5">
      <w:pPr>
        <w:pStyle w:val="11"/>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法定代表人签字：</w:t>
      </w:r>
    </w:p>
    <w:p w14:paraId="037B49E6">
      <w:pPr>
        <w:adjustRightInd w:val="0"/>
        <w:snapToGrid w:val="0"/>
        <w:spacing w:line="700" w:lineRule="exact"/>
        <w:ind w:left="424" w:leftChars="202" w:right="531" w:rightChars="253" w:firstLine="424" w:firstLineChars="177"/>
        <w:contextualSpacing/>
        <w:jc w:val="left"/>
        <w:rPr>
          <w:rFonts w:ascii="宋体" w:hAnsi="宋体" w:cs="宋体"/>
          <w:bCs/>
          <w:sz w:val="24"/>
        </w:rPr>
      </w:pPr>
      <w:r>
        <w:rPr>
          <w:rFonts w:hint="eastAsia" w:ascii="宋体" w:hAnsi="宋体" w:cs="宋体"/>
          <w:bCs/>
          <w:sz w:val="24"/>
        </w:rPr>
        <w:t>项目负责人签名：</w:t>
      </w:r>
    </w:p>
    <w:p w14:paraId="2BCE9C2D">
      <w:pPr>
        <w:adjustRightInd w:val="0"/>
        <w:snapToGrid w:val="0"/>
        <w:spacing w:line="700" w:lineRule="exact"/>
        <w:ind w:left="424" w:leftChars="202" w:right="531" w:rightChars="253" w:firstLine="424" w:firstLineChars="177"/>
        <w:contextualSpacing/>
        <w:rPr>
          <w:rFonts w:ascii="宋体" w:hAnsi="宋体"/>
          <w:sz w:val="24"/>
        </w:rPr>
      </w:pPr>
    </w:p>
    <w:p w14:paraId="304A36DA">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 xml:space="preserve">                                                      年   月   日</w:t>
      </w:r>
    </w:p>
    <w:p w14:paraId="2A270E22">
      <w:pPr>
        <w:pStyle w:val="11"/>
        <w:widowControl/>
        <w:spacing w:line="540" w:lineRule="exact"/>
        <w:ind w:left="5250" w:leftChars="0"/>
        <w:jc w:val="center"/>
        <w:rPr>
          <w:rFonts w:hAnsi="宋体"/>
          <w:szCs w:val="32"/>
        </w:rPr>
      </w:pPr>
    </w:p>
    <w:p w14:paraId="3755E606">
      <w:pPr>
        <w:pStyle w:val="11"/>
        <w:widowControl/>
        <w:spacing w:line="540" w:lineRule="exact"/>
        <w:ind w:left="5250" w:leftChars="0"/>
        <w:jc w:val="center"/>
        <w:rPr>
          <w:rFonts w:ascii="宋体" w:hAnsi="宋体" w:eastAsia="宋体"/>
          <w:szCs w:val="32"/>
        </w:rPr>
      </w:pPr>
    </w:p>
    <w:p w14:paraId="75664C71">
      <w:pPr>
        <w:pStyle w:val="11"/>
        <w:widowControl/>
        <w:spacing w:line="540" w:lineRule="exact"/>
        <w:ind w:left="5250" w:leftChars="0"/>
        <w:jc w:val="center"/>
        <w:rPr>
          <w:rFonts w:ascii="宋体" w:hAnsi="宋体" w:eastAsia="宋体"/>
          <w:szCs w:val="32"/>
        </w:rPr>
      </w:pPr>
    </w:p>
    <w:p w14:paraId="708F8A34">
      <w:pPr>
        <w:pStyle w:val="11"/>
        <w:widowControl/>
        <w:spacing w:line="540" w:lineRule="exact"/>
        <w:ind w:left="5250" w:leftChars="0"/>
        <w:jc w:val="center"/>
        <w:rPr>
          <w:rFonts w:ascii="宋体" w:hAnsi="宋体" w:eastAsia="宋体"/>
          <w:szCs w:val="32"/>
        </w:rPr>
      </w:pPr>
    </w:p>
    <w:p w14:paraId="4DB5D02C">
      <w:pPr>
        <w:pStyle w:val="11"/>
        <w:widowControl/>
        <w:spacing w:line="540" w:lineRule="exact"/>
        <w:ind w:left="5250" w:leftChars="0"/>
        <w:jc w:val="center"/>
        <w:rPr>
          <w:rFonts w:ascii="宋体" w:hAnsi="宋体" w:eastAsia="宋体"/>
          <w:szCs w:val="32"/>
        </w:rPr>
      </w:pPr>
    </w:p>
    <w:p w14:paraId="52FFF562">
      <w:pPr>
        <w:pStyle w:val="11"/>
        <w:widowControl/>
        <w:spacing w:line="540" w:lineRule="exact"/>
        <w:ind w:left="5250" w:leftChars="0"/>
        <w:jc w:val="center"/>
        <w:rPr>
          <w:rFonts w:ascii="宋体" w:hAnsi="宋体" w:eastAsia="宋体"/>
          <w:szCs w:val="32"/>
        </w:rPr>
      </w:pPr>
    </w:p>
    <w:p w14:paraId="4075A2CB">
      <w:pPr>
        <w:rPr>
          <w:rFonts w:ascii="宋体" w:hAnsi="宋体"/>
          <w:szCs w:val="32"/>
        </w:rPr>
      </w:pPr>
      <w:r>
        <w:rPr>
          <w:rFonts w:hint="eastAsia" w:ascii="宋体" w:hAnsi="宋体"/>
          <w:szCs w:val="32"/>
        </w:rPr>
        <w:br w:type="page"/>
      </w:r>
    </w:p>
    <w:p w14:paraId="5E851CAB">
      <w:pPr>
        <w:jc w:val="center"/>
        <w:rPr>
          <w:rFonts w:ascii="宋体" w:hAnsi="宋体"/>
          <w:b/>
          <w:sz w:val="36"/>
          <w:szCs w:val="36"/>
        </w:rPr>
      </w:pPr>
      <w:r>
        <w:rPr>
          <w:rFonts w:hint="eastAsia" w:ascii="宋体" w:hAnsi="宋体"/>
          <w:b/>
          <w:sz w:val="36"/>
          <w:szCs w:val="36"/>
        </w:rPr>
        <w:t>投标报价</w:t>
      </w:r>
    </w:p>
    <w:p w14:paraId="33A9AF1A">
      <w:pPr>
        <w:jc w:val="center"/>
        <w:rPr>
          <w:rFonts w:ascii="宋体" w:hAnsi="宋体"/>
          <w:b/>
          <w:sz w:val="24"/>
        </w:rPr>
      </w:pPr>
    </w:p>
    <w:tbl>
      <w:tblPr>
        <w:tblStyle w:val="22"/>
        <w:tblW w:w="4483" w:type="pct"/>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581"/>
        <w:gridCol w:w="2823"/>
        <w:gridCol w:w="2490"/>
      </w:tblGrid>
      <w:tr w14:paraId="0B3B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6" w:type="pct"/>
            <w:tcBorders>
              <w:top w:val="single" w:color="auto" w:sz="4" w:space="0"/>
              <w:left w:val="single" w:color="auto" w:sz="4" w:space="0"/>
              <w:bottom w:val="single" w:color="auto" w:sz="4" w:space="0"/>
              <w:right w:val="single" w:color="auto" w:sz="4" w:space="0"/>
            </w:tcBorders>
            <w:vAlign w:val="center"/>
          </w:tcPr>
          <w:p w14:paraId="0FAF5044">
            <w:pPr>
              <w:jc w:val="center"/>
              <w:rPr>
                <w:rFonts w:ascii="宋体" w:hAnsi="宋体"/>
                <w:b/>
                <w:sz w:val="28"/>
                <w:szCs w:val="28"/>
              </w:rPr>
            </w:pPr>
            <w:r>
              <w:rPr>
                <w:rFonts w:hint="eastAsia" w:ascii="宋体" w:hAnsi="宋体"/>
                <w:b/>
                <w:sz w:val="28"/>
                <w:szCs w:val="28"/>
              </w:rPr>
              <w:t>序号</w:t>
            </w:r>
          </w:p>
        </w:tc>
        <w:tc>
          <w:tcPr>
            <w:tcW w:w="1479" w:type="pct"/>
            <w:tcBorders>
              <w:top w:val="single" w:color="auto" w:sz="4" w:space="0"/>
              <w:left w:val="single" w:color="auto" w:sz="4" w:space="0"/>
              <w:bottom w:val="single" w:color="auto" w:sz="4" w:space="0"/>
              <w:right w:val="single" w:color="auto" w:sz="4" w:space="0"/>
            </w:tcBorders>
            <w:vAlign w:val="center"/>
          </w:tcPr>
          <w:p w14:paraId="53A6EFAF">
            <w:pPr>
              <w:jc w:val="center"/>
              <w:rPr>
                <w:rFonts w:ascii="宋体" w:hAnsi="宋体"/>
                <w:b/>
                <w:sz w:val="28"/>
                <w:szCs w:val="28"/>
              </w:rPr>
            </w:pPr>
            <w:r>
              <w:rPr>
                <w:rFonts w:hint="eastAsia" w:ascii="宋体" w:hAnsi="宋体"/>
                <w:b/>
                <w:sz w:val="28"/>
                <w:szCs w:val="28"/>
              </w:rPr>
              <w:t>项目内容</w:t>
            </w:r>
          </w:p>
        </w:tc>
        <w:tc>
          <w:tcPr>
            <w:tcW w:w="1618" w:type="pct"/>
            <w:tcBorders>
              <w:top w:val="single" w:color="auto" w:sz="4" w:space="0"/>
              <w:left w:val="single" w:color="auto" w:sz="4" w:space="0"/>
              <w:bottom w:val="single" w:color="auto" w:sz="4" w:space="0"/>
              <w:right w:val="single" w:color="auto" w:sz="4" w:space="0"/>
            </w:tcBorders>
            <w:vAlign w:val="center"/>
          </w:tcPr>
          <w:p w14:paraId="4645E224">
            <w:pPr>
              <w:jc w:val="center"/>
              <w:rPr>
                <w:rFonts w:ascii="宋体" w:hAnsi="宋体"/>
                <w:b/>
                <w:sz w:val="28"/>
                <w:szCs w:val="28"/>
              </w:rPr>
            </w:pPr>
            <w:r>
              <w:rPr>
                <w:rFonts w:hint="eastAsia" w:ascii="宋体" w:hAnsi="宋体"/>
                <w:b/>
                <w:sz w:val="28"/>
                <w:szCs w:val="28"/>
              </w:rPr>
              <w:t>投标内容</w:t>
            </w:r>
          </w:p>
        </w:tc>
        <w:tc>
          <w:tcPr>
            <w:tcW w:w="1428" w:type="pct"/>
            <w:tcBorders>
              <w:top w:val="single" w:color="auto" w:sz="4" w:space="0"/>
              <w:left w:val="single" w:color="auto" w:sz="4" w:space="0"/>
              <w:bottom w:val="single" w:color="auto" w:sz="4" w:space="0"/>
              <w:right w:val="single" w:color="auto" w:sz="4" w:space="0"/>
            </w:tcBorders>
            <w:vAlign w:val="center"/>
          </w:tcPr>
          <w:p w14:paraId="0201698E">
            <w:pPr>
              <w:jc w:val="center"/>
              <w:rPr>
                <w:rFonts w:ascii="宋体" w:hAnsi="宋体"/>
                <w:b/>
                <w:sz w:val="28"/>
                <w:szCs w:val="28"/>
              </w:rPr>
            </w:pPr>
            <w:r>
              <w:rPr>
                <w:rFonts w:hint="eastAsia" w:ascii="宋体" w:hAnsi="宋体"/>
                <w:b/>
                <w:sz w:val="28"/>
                <w:szCs w:val="28"/>
              </w:rPr>
              <w:t>报价</w:t>
            </w:r>
          </w:p>
        </w:tc>
      </w:tr>
      <w:tr w14:paraId="114F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6EDB01D">
            <w:pPr>
              <w:jc w:val="center"/>
              <w:rPr>
                <w:rFonts w:ascii="宋体" w:hAnsi="宋体"/>
                <w:sz w:val="24"/>
              </w:rPr>
            </w:pPr>
            <w:r>
              <w:rPr>
                <w:rFonts w:hint="eastAsia" w:ascii="宋体" w:hAnsi="宋体"/>
                <w:sz w:val="24"/>
              </w:rPr>
              <w:t>1</w:t>
            </w:r>
          </w:p>
        </w:tc>
        <w:tc>
          <w:tcPr>
            <w:tcW w:w="1479" w:type="pct"/>
            <w:tcBorders>
              <w:top w:val="single" w:color="auto" w:sz="4" w:space="0"/>
              <w:left w:val="single" w:color="auto" w:sz="4" w:space="0"/>
              <w:bottom w:val="single" w:color="auto" w:sz="4" w:space="0"/>
              <w:right w:val="single" w:color="auto" w:sz="4" w:space="0"/>
            </w:tcBorders>
            <w:vAlign w:val="center"/>
          </w:tcPr>
          <w:p w14:paraId="178A3433">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C0153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49F9DAE9">
            <w:pPr>
              <w:jc w:val="center"/>
              <w:rPr>
                <w:rFonts w:ascii="宋体" w:hAnsi="宋体"/>
                <w:sz w:val="24"/>
              </w:rPr>
            </w:pPr>
          </w:p>
        </w:tc>
      </w:tr>
      <w:tr w14:paraId="3E87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2B2D019">
            <w:pPr>
              <w:jc w:val="center"/>
              <w:rPr>
                <w:rFonts w:ascii="宋体" w:hAnsi="宋体"/>
                <w:sz w:val="24"/>
              </w:rPr>
            </w:pPr>
            <w:r>
              <w:rPr>
                <w:rFonts w:hint="eastAsia" w:ascii="宋体" w:hAnsi="宋体"/>
                <w:sz w:val="24"/>
              </w:rPr>
              <w:t>2</w:t>
            </w:r>
          </w:p>
        </w:tc>
        <w:tc>
          <w:tcPr>
            <w:tcW w:w="1479" w:type="pct"/>
            <w:tcBorders>
              <w:top w:val="single" w:color="auto" w:sz="4" w:space="0"/>
              <w:left w:val="single" w:color="auto" w:sz="4" w:space="0"/>
              <w:bottom w:val="single" w:color="auto" w:sz="4" w:space="0"/>
              <w:right w:val="single" w:color="auto" w:sz="4" w:space="0"/>
            </w:tcBorders>
            <w:vAlign w:val="center"/>
          </w:tcPr>
          <w:p w14:paraId="60E639D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B465A2D">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FE6576">
            <w:pPr>
              <w:jc w:val="center"/>
              <w:rPr>
                <w:rFonts w:ascii="宋体" w:hAnsi="宋体"/>
                <w:sz w:val="24"/>
              </w:rPr>
            </w:pPr>
          </w:p>
        </w:tc>
      </w:tr>
      <w:tr w14:paraId="29C6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433ACA2">
            <w:pPr>
              <w:jc w:val="center"/>
              <w:rPr>
                <w:rFonts w:ascii="宋体" w:hAnsi="宋体"/>
                <w:sz w:val="24"/>
              </w:rPr>
            </w:pPr>
            <w:r>
              <w:rPr>
                <w:rFonts w:hint="eastAsia" w:ascii="宋体" w:hAnsi="宋体"/>
                <w:sz w:val="24"/>
              </w:rPr>
              <w:t>3</w:t>
            </w:r>
          </w:p>
        </w:tc>
        <w:tc>
          <w:tcPr>
            <w:tcW w:w="1479" w:type="pct"/>
            <w:tcBorders>
              <w:top w:val="single" w:color="auto" w:sz="4" w:space="0"/>
              <w:left w:val="single" w:color="auto" w:sz="4" w:space="0"/>
              <w:bottom w:val="single" w:color="auto" w:sz="4" w:space="0"/>
              <w:right w:val="single" w:color="auto" w:sz="4" w:space="0"/>
            </w:tcBorders>
            <w:vAlign w:val="center"/>
          </w:tcPr>
          <w:p w14:paraId="2D72A23D">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1C6BA6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FE9DCC1">
            <w:pPr>
              <w:jc w:val="center"/>
              <w:rPr>
                <w:rFonts w:ascii="宋体" w:hAnsi="宋体"/>
                <w:sz w:val="24"/>
              </w:rPr>
            </w:pPr>
          </w:p>
        </w:tc>
      </w:tr>
      <w:tr w14:paraId="2ABA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90FB382">
            <w:pPr>
              <w:jc w:val="center"/>
              <w:rPr>
                <w:rFonts w:ascii="宋体" w:hAnsi="宋体"/>
                <w:sz w:val="24"/>
              </w:rPr>
            </w:pPr>
            <w:r>
              <w:rPr>
                <w:rFonts w:hint="eastAsia" w:ascii="宋体" w:hAnsi="宋体"/>
                <w:sz w:val="24"/>
              </w:rPr>
              <w:t>4</w:t>
            </w:r>
          </w:p>
        </w:tc>
        <w:tc>
          <w:tcPr>
            <w:tcW w:w="1479" w:type="pct"/>
            <w:tcBorders>
              <w:top w:val="single" w:color="auto" w:sz="4" w:space="0"/>
              <w:left w:val="single" w:color="auto" w:sz="4" w:space="0"/>
              <w:bottom w:val="single" w:color="auto" w:sz="4" w:space="0"/>
              <w:right w:val="single" w:color="auto" w:sz="4" w:space="0"/>
            </w:tcBorders>
            <w:vAlign w:val="center"/>
          </w:tcPr>
          <w:p w14:paraId="7A6657F1">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348B0F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6B9A34F">
            <w:pPr>
              <w:jc w:val="left"/>
              <w:rPr>
                <w:rFonts w:ascii="宋体" w:hAnsi="宋体"/>
                <w:sz w:val="24"/>
              </w:rPr>
            </w:pPr>
          </w:p>
        </w:tc>
      </w:tr>
      <w:tr w14:paraId="1621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148742C">
            <w:pPr>
              <w:jc w:val="center"/>
              <w:rPr>
                <w:rFonts w:ascii="宋体" w:hAnsi="宋体"/>
                <w:sz w:val="24"/>
              </w:rPr>
            </w:pPr>
            <w:r>
              <w:rPr>
                <w:rFonts w:hint="eastAsia" w:ascii="宋体" w:hAnsi="宋体"/>
                <w:sz w:val="24"/>
              </w:rPr>
              <w:t>5</w:t>
            </w:r>
          </w:p>
        </w:tc>
        <w:tc>
          <w:tcPr>
            <w:tcW w:w="1479" w:type="pct"/>
            <w:tcBorders>
              <w:top w:val="single" w:color="auto" w:sz="4" w:space="0"/>
              <w:left w:val="single" w:color="auto" w:sz="4" w:space="0"/>
              <w:bottom w:val="single" w:color="auto" w:sz="4" w:space="0"/>
              <w:right w:val="single" w:color="auto" w:sz="4" w:space="0"/>
            </w:tcBorders>
            <w:vAlign w:val="center"/>
          </w:tcPr>
          <w:p w14:paraId="339D9D1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0A064C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44715EF">
            <w:pPr>
              <w:jc w:val="left"/>
              <w:rPr>
                <w:rFonts w:ascii="宋体" w:hAnsi="宋体"/>
                <w:sz w:val="24"/>
              </w:rPr>
            </w:pPr>
          </w:p>
        </w:tc>
      </w:tr>
      <w:tr w14:paraId="391E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A151FC1">
            <w:pPr>
              <w:jc w:val="center"/>
              <w:rPr>
                <w:rFonts w:ascii="宋体" w:hAnsi="宋体"/>
                <w:sz w:val="24"/>
              </w:rPr>
            </w:pPr>
            <w:r>
              <w:rPr>
                <w:rFonts w:hint="eastAsia" w:ascii="宋体" w:hAnsi="宋体"/>
                <w:sz w:val="24"/>
              </w:rPr>
              <w:t>6</w:t>
            </w:r>
          </w:p>
        </w:tc>
        <w:tc>
          <w:tcPr>
            <w:tcW w:w="1479" w:type="pct"/>
            <w:tcBorders>
              <w:top w:val="single" w:color="auto" w:sz="4" w:space="0"/>
              <w:left w:val="single" w:color="auto" w:sz="4" w:space="0"/>
              <w:bottom w:val="single" w:color="auto" w:sz="4" w:space="0"/>
              <w:right w:val="single" w:color="auto" w:sz="4" w:space="0"/>
            </w:tcBorders>
            <w:vAlign w:val="center"/>
          </w:tcPr>
          <w:p w14:paraId="376FF745">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5D6DE8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C8A1A41">
            <w:pPr>
              <w:jc w:val="left"/>
              <w:rPr>
                <w:rFonts w:ascii="宋体" w:hAnsi="宋体"/>
                <w:sz w:val="24"/>
              </w:rPr>
            </w:pPr>
          </w:p>
        </w:tc>
      </w:tr>
      <w:tr w14:paraId="063E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529F3ED1">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4239C0F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3CAD039F">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70CB91">
            <w:pPr>
              <w:jc w:val="left"/>
              <w:rPr>
                <w:rFonts w:ascii="宋体" w:hAnsi="宋体"/>
                <w:sz w:val="24"/>
              </w:rPr>
            </w:pPr>
          </w:p>
        </w:tc>
      </w:tr>
      <w:tr w14:paraId="1D1F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23FF139F">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BA0857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82D03BE">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1F55DDF">
            <w:pPr>
              <w:jc w:val="center"/>
              <w:rPr>
                <w:rFonts w:ascii="宋体" w:hAnsi="宋体"/>
                <w:sz w:val="24"/>
              </w:rPr>
            </w:pPr>
          </w:p>
        </w:tc>
      </w:tr>
      <w:tr w14:paraId="51A6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F8DA5E3">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821D47A">
            <w:pP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14E10C1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18997193">
            <w:pPr>
              <w:jc w:val="center"/>
              <w:rPr>
                <w:rFonts w:ascii="宋体" w:hAnsi="宋体"/>
                <w:sz w:val="24"/>
              </w:rPr>
            </w:pPr>
          </w:p>
        </w:tc>
      </w:tr>
      <w:tr w14:paraId="2765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870FBD8">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717A30C2">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7AD7184">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3E8DCA6">
            <w:pPr>
              <w:jc w:val="center"/>
              <w:rPr>
                <w:rFonts w:ascii="宋体" w:hAnsi="宋体"/>
                <w:sz w:val="24"/>
              </w:rPr>
            </w:pPr>
          </w:p>
        </w:tc>
      </w:tr>
      <w:tr w14:paraId="06C2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15EAE39">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284E638D">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624DDD7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035B08C">
            <w:pPr>
              <w:jc w:val="center"/>
              <w:rPr>
                <w:rFonts w:ascii="宋体" w:hAnsi="宋体"/>
                <w:sz w:val="24"/>
              </w:rPr>
            </w:pPr>
          </w:p>
        </w:tc>
      </w:tr>
      <w:tr w14:paraId="708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E3F3C4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5AF94F5B">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96639CA">
            <w:pPr>
              <w:jc w:val="center"/>
              <w:rPr>
                <w:rFonts w:ascii="宋体" w:hAnsi="宋体"/>
                <w:sz w:val="24"/>
              </w:rPr>
            </w:pPr>
          </w:p>
          <w:p w14:paraId="51C3CB2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tcPr>
          <w:p w14:paraId="5F559007">
            <w:pPr>
              <w:jc w:val="center"/>
              <w:rPr>
                <w:rFonts w:ascii="宋体" w:hAnsi="宋体"/>
                <w:sz w:val="24"/>
              </w:rPr>
            </w:pPr>
          </w:p>
        </w:tc>
      </w:tr>
      <w:tr w14:paraId="3378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4B6002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531B4AA">
            <w:pPr>
              <w:jc w:val="center"/>
              <w:rPr>
                <w:rFonts w:ascii="宋体" w:hAnsi="宋体"/>
                <w:sz w:val="24"/>
              </w:rPr>
            </w:pPr>
            <w:r>
              <w:rPr>
                <w:rFonts w:hint="eastAsia" w:ascii="宋体" w:hAnsi="宋体"/>
                <w:sz w:val="24"/>
              </w:rPr>
              <w:t>其他条件</w:t>
            </w:r>
          </w:p>
        </w:tc>
        <w:tc>
          <w:tcPr>
            <w:tcW w:w="3046" w:type="pct"/>
            <w:gridSpan w:val="2"/>
            <w:tcBorders>
              <w:top w:val="single" w:color="auto" w:sz="4" w:space="0"/>
              <w:left w:val="single" w:color="auto" w:sz="4" w:space="0"/>
              <w:bottom w:val="single" w:color="auto" w:sz="4" w:space="0"/>
              <w:right w:val="single" w:color="auto" w:sz="4" w:space="0"/>
            </w:tcBorders>
            <w:vAlign w:val="center"/>
          </w:tcPr>
          <w:p w14:paraId="5EEC8A0A">
            <w:pPr>
              <w:jc w:val="center"/>
              <w:rPr>
                <w:rFonts w:ascii="宋体" w:hAnsi="宋体"/>
                <w:b/>
                <w:sz w:val="24"/>
              </w:rPr>
            </w:pPr>
          </w:p>
        </w:tc>
      </w:tr>
    </w:tbl>
    <w:p w14:paraId="32282B7B">
      <w:pPr>
        <w:jc w:val="center"/>
        <w:rPr>
          <w:rFonts w:ascii="宋体" w:hAnsi="宋体"/>
          <w:b/>
          <w:sz w:val="24"/>
        </w:rPr>
      </w:pPr>
    </w:p>
    <w:p w14:paraId="4A18DE4E">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投标人（盖章）：</w:t>
      </w:r>
    </w:p>
    <w:p w14:paraId="37154142">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法定代表人或委托代理人（签字）：</w:t>
      </w:r>
    </w:p>
    <w:p w14:paraId="45756288">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日  期：</w:t>
      </w:r>
    </w:p>
    <w:p w14:paraId="4351E847">
      <w:pPr>
        <w:jc w:val="center"/>
        <w:rPr>
          <w:rFonts w:ascii="宋体" w:hAnsi="宋体"/>
          <w:b/>
          <w:sz w:val="24"/>
        </w:rPr>
      </w:pPr>
    </w:p>
    <w:p w14:paraId="3848C2B6">
      <w:pPr>
        <w:jc w:val="center"/>
        <w:rPr>
          <w:rFonts w:ascii="宋体" w:hAnsi="宋体"/>
          <w:b/>
          <w:sz w:val="24"/>
        </w:rPr>
      </w:pPr>
    </w:p>
    <w:p w14:paraId="5A628E91">
      <w:pPr>
        <w:rPr>
          <w:rFonts w:ascii="宋体" w:hAnsi="宋体"/>
          <w:b/>
          <w:sz w:val="24"/>
        </w:rPr>
      </w:pPr>
    </w:p>
    <w:p w14:paraId="12043156">
      <w:pPr>
        <w:jc w:val="center"/>
        <w:rPr>
          <w:rFonts w:ascii="宋体" w:hAnsi="宋体"/>
          <w:b/>
          <w:bCs/>
          <w:sz w:val="36"/>
          <w:szCs w:val="36"/>
        </w:rPr>
      </w:pPr>
      <w:r>
        <w:rPr>
          <w:rFonts w:hint="eastAsia" w:ascii="宋体" w:hAnsi="宋体"/>
          <w:b/>
          <w:bCs/>
          <w:sz w:val="36"/>
          <w:szCs w:val="36"/>
        </w:rPr>
        <w:t>供应商廉洁自律承诺书</w:t>
      </w:r>
    </w:p>
    <w:p w14:paraId="45E56FDB">
      <w:pPr>
        <w:rPr>
          <w:rFonts w:ascii="楷体_GB2312" w:eastAsia="楷体_GB2312"/>
        </w:rPr>
      </w:pPr>
    </w:p>
    <w:p w14:paraId="0E010691">
      <w:pPr>
        <w:pStyle w:val="12"/>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扬州大学附属医院</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rPr>
        <w:t>项目院内公开谈判是实行公开、公平、公正的阳光工程，给予了每个供应商平等竞争的机会。作为参与此次谈判活动的承包商,我公司现郑重作出以下承诺：</w:t>
      </w:r>
    </w:p>
    <w:p w14:paraId="5865B2A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一、遵守《中华人民共和国政府采购法》及省、市有关政府采购的各项法律、法规和制度以及《扬州大学采购管理暂行办法》的规定。</w:t>
      </w:r>
    </w:p>
    <w:p w14:paraId="5082AF0B">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二、客观真实反映自身情况，按规定接受采购供应商资格审查,不提供虚假材料，不夸大自身技术和提供服务的能力。</w:t>
      </w:r>
    </w:p>
    <w:p w14:paraId="408209B2">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三、以合法正当的手段参与采购的公平竞争。不与采购人、其他供应商或者采购代理机构恶意串通，不以不正当手段诋毁、排挤其他供应商，不向采购人、评审机构行贿或者提供其他不正当利益。</w:t>
      </w:r>
    </w:p>
    <w:p w14:paraId="57BABD3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四、在采购活动中，认真履行规定义务,包括</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遵守采购程序，按要求编写投标、响应文件，并保证投标、响应文件内容的真实可靠；按时递交投标、响应文件；在评标、谈判现场遵守相关纪律，不影响正常的采购秩序。</w:t>
      </w:r>
    </w:p>
    <w:p w14:paraId="31F8DE3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五、自觉接受采购监督管理部门及其他相关部门的监督检查。</w:t>
      </w:r>
    </w:p>
    <w:p w14:paraId="3372910B">
      <w:pPr>
        <w:pStyle w:val="12"/>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2" w:firstLineChars="200"/>
        <w:contextualSpacing/>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如违反以上承诺，我公司愿承担一切法律责任，并接受采购监督管理部门及其他相关部门依法作出的处罚。</w:t>
      </w:r>
    </w:p>
    <w:p w14:paraId="4D332664">
      <w:pPr>
        <w:pStyle w:val="12"/>
        <w:adjustRightInd w:val="0"/>
        <w:snapToGrid w:val="0"/>
        <w:spacing w:line="440" w:lineRule="exact"/>
        <w:ind w:left="424" w:leftChars="202" w:right="531" w:rightChars="253" w:firstLine="424" w:firstLineChars="177"/>
        <w:contextualSpacing/>
        <w:rPr>
          <w:rFonts w:ascii="宋体" w:hAnsi="宋体"/>
          <w:sz w:val="24"/>
        </w:rPr>
      </w:pPr>
    </w:p>
    <w:p w14:paraId="3E54AA89">
      <w:pPr>
        <w:adjustRightInd w:val="0"/>
        <w:snapToGrid w:val="0"/>
        <w:spacing w:line="440" w:lineRule="exact"/>
        <w:ind w:left="424" w:leftChars="202" w:right="531" w:rightChars="253" w:firstLine="424" w:firstLineChars="177"/>
        <w:contextualSpacing/>
        <w:rPr>
          <w:rFonts w:ascii="宋体" w:hAnsi="宋体"/>
          <w:sz w:val="24"/>
        </w:rPr>
      </w:pPr>
    </w:p>
    <w:p w14:paraId="511F2C4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lang w:eastAsia="zh-CN"/>
        </w:rPr>
      </w:pPr>
      <w:r>
        <w:rPr>
          <w:rFonts w:hint="eastAsia" w:ascii="宋体" w:hAnsi="宋体"/>
          <w:sz w:val="24"/>
        </w:rPr>
        <w:t>承诺单位（盖章）</w:t>
      </w:r>
      <w:r>
        <w:rPr>
          <w:rFonts w:hint="eastAsia" w:ascii="宋体" w:hAnsi="宋体"/>
          <w:sz w:val="24"/>
          <w:lang w:eastAsia="zh-CN"/>
        </w:rPr>
        <w:t>：</w:t>
      </w:r>
    </w:p>
    <w:p w14:paraId="2A85252D">
      <w:pPr>
        <w:pStyle w:val="28"/>
        <w:rPr>
          <w:rFonts w:hint="eastAsia"/>
          <w:lang w:eastAsia="zh-CN"/>
        </w:rPr>
      </w:pPr>
    </w:p>
    <w:p w14:paraId="33F35A58">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rPr>
      </w:pPr>
      <w:r>
        <w:rPr>
          <w:rFonts w:hint="eastAsia" w:ascii="宋体" w:hAnsi="宋体"/>
          <w:sz w:val="24"/>
        </w:rPr>
        <w:t>法定代表人（授权代表签字）：</w:t>
      </w:r>
    </w:p>
    <w:p w14:paraId="794FB570">
      <w:pPr>
        <w:pStyle w:val="28"/>
      </w:pPr>
    </w:p>
    <w:p w14:paraId="19DDA9AE">
      <w:pPr>
        <w:pStyle w:val="8"/>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ascii="宋体" w:hAnsi="宋体"/>
          <w:sz w:val="24"/>
          <w:highlight w:val="none"/>
        </w:rPr>
      </w:pPr>
      <w:r>
        <w:rPr>
          <w:rFonts w:hint="eastAsia" w:ascii="宋体" w:hAnsi="宋体"/>
          <w:sz w:val="24"/>
          <w:highlight w:val="none"/>
        </w:rPr>
        <w:t>202</w:t>
      </w:r>
      <w:r>
        <w:rPr>
          <w:rFonts w:ascii="宋体" w:hAnsi="宋体"/>
          <w:sz w:val="24"/>
          <w:highlight w:val="none"/>
        </w:rPr>
        <w:t>6</w:t>
      </w:r>
      <w:r>
        <w:rPr>
          <w:rFonts w:hint="eastAsia" w:ascii="宋体" w:hAnsi="宋体"/>
          <w:sz w:val="24"/>
          <w:highlight w:val="none"/>
        </w:rPr>
        <w:t>年    月   日</w:t>
      </w:r>
    </w:p>
    <w:p w14:paraId="67C3252A">
      <w:pPr>
        <w:jc w:val="center"/>
        <w:rPr>
          <w:rFonts w:ascii="宋体" w:hAnsi="宋体"/>
          <w:b/>
          <w:sz w:val="24"/>
        </w:rPr>
      </w:pPr>
    </w:p>
    <w:p w14:paraId="4475BBDC">
      <w:pPr>
        <w:rPr>
          <w:sz w:val="24"/>
        </w:rPr>
      </w:pPr>
    </w:p>
    <w:sectPr>
      <w:footerReference r:id="rId7" w:type="first"/>
      <w:footerReference r:id="rId6" w:type="default"/>
      <w:pgSz w:w="11906" w:h="16838"/>
      <w:pgMar w:top="1440" w:right="1196" w:bottom="1440" w:left="1196"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1FEF9">
    <w:pPr>
      <w:pStyle w:val="14"/>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14E63">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614E63">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82F81">
    <w:pPr>
      <w:pStyle w:val="14"/>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677CC">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F4677CC">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2B321">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95068">
    <w:pPr>
      <w:pStyle w:val="14"/>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1A379">
                          <w:pPr>
                            <w:pStyle w:val="1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D1A379">
                    <w:pPr>
                      <w:pStyle w:val="1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5E217">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D95E217">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5576B">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1D44A">
                          <w:pPr>
                            <w:pStyle w:val="14"/>
                          </w:pPr>
                          <w:r>
                            <w:rPr>
                              <w:rFonts w:hint="eastAsia"/>
                              <w:lang w:val="en-US" w:eastAsia="zh-CN"/>
                            </w:rPr>
                            <w:t>1</w:t>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31D44A">
                    <w:pPr>
                      <w:pStyle w:val="14"/>
                    </w:pPr>
                    <w:r>
                      <w:rPr>
                        <w:rFonts w:hint="eastAsia"/>
                        <w:lang w:val="en-US" w:eastAsia="zh-CN"/>
                      </w:rPr>
                      <w:t>1</w:t>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515DD"/>
    <w:multiLevelType w:val="multilevel"/>
    <w:tmpl w:val="293515DD"/>
    <w:lvl w:ilvl="0" w:tentative="0">
      <w:start w:val="1"/>
      <w:numFmt w:val="bullet"/>
      <w:pStyle w:val="3"/>
      <w:lvlText w:val=""/>
      <w:lvlJc w:val="left"/>
      <w:pPr>
        <w:ind w:left="420" w:hanging="420"/>
      </w:pPr>
      <w:rPr>
        <w:rFonts w:hint="default" w:ascii="Wingdings" w:hAnsi="Wingdings" w:eastAsia="宋体"/>
        <w:b/>
        <w:i w:val="0"/>
        <w:sz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D7"/>
    <w:rsid w:val="00013B19"/>
    <w:rsid w:val="000719A3"/>
    <w:rsid w:val="000E1931"/>
    <w:rsid w:val="00122BC4"/>
    <w:rsid w:val="00146B6D"/>
    <w:rsid w:val="00157B78"/>
    <w:rsid w:val="00222014"/>
    <w:rsid w:val="002C4593"/>
    <w:rsid w:val="003206A4"/>
    <w:rsid w:val="003813F4"/>
    <w:rsid w:val="003A3E74"/>
    <w:rsid w:val="003C270E"/>
    <w:rsid w:val="003F4FF7"/>
    <w:rsid w:val="004341C7"/>
    <w:rsid w:val="004A0472"/>
    <w:rsid w:val="005A6B5B"/>
    <w:rsid w:val="005C1A49"/>
    <w:rsid w:val="00611F76"/>
    <w:rsid w:val="0069656E"/>
    <w:rsid w:val="00740F84"/>
    <w:rsid w:val="007F2291"/>
    <w:rsid w:val="00801C2E"/>
    <w:rsid w:val="009512D6"/>
    <w:rsid w:val="009B4DD7"/>
    <w:rsid w:val="009F6585"/>
    <w:rsid w:val="00BF5195"/>
    <w:rsid w:val="00C2495E"/>
    <w:rsid w:val="00C60D9A"/>
    <w:rsid w:val="00CD2F68"/>
    <w:rsid w:val="00D9047D"/>
    <w:rsid w:val="00DF5890"/>
    <w:rsid w:val="00EF5B26"/>
    <w:rsid w:val="00F03EAF"/>
    <w:rsid w:val="00F0695A"/>
    <w:rsid w:val="00F14D10"/>
    <w:rsid w:val="01C82AB9"/>
    <w:rsid w:val="01DE6849"/>
    <w:rsid w:val="05B42BEE"/>
    <w:rsid w:val="0A8401E3"/>
    <w:rsid w:val="0BAC3E1D"/>
    <w:rsid w:val="0CB27867"/>
    <w:rsid w:val="0DCF1E50"/>
    <w:rsid w:val="0E157472"/>
    <w:rsid w:val="10F009BD"/>
    <w:rsid w:val="15E52C78"/>
    <w:rsid w:val="1CBC3557"/>
    <w:rsid w:val="1DD737EE"/>
    <w:rsid w:val="20AA3866"/>
    <w:rsid w:val="20C34832"/>
    <w:rsid w:val="2A522B7B"/>
    <w:rsid w:val="2EB910C0"/>
    <w:rsid w:val="2FDE4590"/>
    <w:rsid w:val="30A532D8"/>
    <w:rsid w:val="329802B9"/>
    <w:rsid w:val="33CE2865"/>
    <w:rsid w:val="35B65844"/>
    <w:rsid w:val="3779428F"/>
    <w:rsid w:val="3B613A93"/>
    <w:rsid w:val="3E341C7D"/>
    <w:rsid w:val="401728E0"/>
    <w:rsid w:val="40AC4204"/>
    <w:rsid w:val="42895E35"/>
    <w:rsid w:val="4550160D"/>
    <w:rsid w:val="47ED2965"/>
    <w:rsid w:val="47F04922"/>
    <w:rsid w:val="4BBF52FB"/>
    <w:rsid w:val="4E7E0245"/>
    <w:rsid w:val="4EFC5A73"/>
    <w:rsid w:val="55116550"/>
    <w:rsid w:val="560756D8"/>
    <w:rsid w:val="57873E79"/>
    <w:rsid w:val="5B372A19"/>
    <w:rsid w:val="5D0336DD"/>
    <w:rsid w:val="6358798B"/>
    <w:rsid w:val="690B6176"/>
    <w:rsid w:val="6A175BDB"/>
    <w:rsid w:val="6ACB16CB"/>
    <w:rsid w:val="6AED4904"/>
    <w:rsid w:val="6D68150D"/>
    <w:rsid w:val="76141385"/>
    <w:rsid w:val="76CD31E6"/>
    <w:rsid w:val="7AE563F6"/>
    <w:rsid w:val="7DBF50BB"/>
    <w:rsid w:val="7E3953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9"/>
    <w:qFormat/>
    <w:uiPriority w:val="9"/>
    <w:pPr>
      <w:keepNext/>
      <w:spacing w:line="360" w:lineRule="auto"/>
      <w:jc w:val="center"/>
      <w:outlineLvl w:val="0"/>
    </w:pPr>
    <w:rPr>
      <w:rFonts w:ascii="宋体" w:hAnsi="宋体" w:cs="宋体"/>
      <w:b/>
      <w:sz w:val="28"/>
      <w:szCs w:val="20"/>
    </w:rPr>
  </w:style>
  <w:style w:type="paragraph" w:styleId="3">
    <w:name w:val="heading 2"/>
    <w:basedOn w:val="1"/>
    <w:next w:val="1"/>
    <w:unhideWhenUsed/>
    <w:qFormat/>
    <w:uiPriority w:val="9"/>
    <w:pPr>
      <w:keepNext/>
      <w:keepLines/>
      <w:numPr>
        <w:ilvl w:val="0"/>
        <w:numId w:val="1"/>
      </w:numPr>
      <w:spacing w:line="360" w:lineRule="auto"/>
      <w:jc w:val="center"/>
      <w:outlineLvl w:val="1"/>
    </w:pPr>
    <w:rPr>
      <w:rFonts w:asciiTheme="majorHAnsi" w:hAnsiTheme="majorHAnsi" w:eastAsiaTheme="majorEastAsia" w:cstheme="majorBidi"/>
      <w:b/>
      <w:bCs/>
      <w:sz w:val="24"/>
      <w:szCs w:val="32"/>
    </w:rPr>
  </w:style>
  <w:style w:type="paragraph" w:styleId="4">
    <w:name w:val="heading 3"/>
    <w:basedOn w:val="1"/>
    <w:next w:val="1"/>
    <w:link w:val="30"/>
    <w:semiHidden/>
    <w:unhideWhenUsed/>
    <w:qFormat/>
    <w:uiPriority w:val="9"/>
    <w:pPr>
      <w:keepNext/>
      <w:keepLines/>
      <w:spacing w:before="260" w:after="260" w:line="412" w:lineRule="auto"/>
      <w:outlineLvl w:val="2"/>
    </w:pPr>
    <w:rPr>
      <w:rFonts w:cs="宋体"/>
      <w:b/>
      <w:sz w:val="32"/>
      <w:szCs w:val="2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annotation text"/>
    <w:basedOn w:val="1"/>
    <w:link w:val="31"/>
    <w:qFormat/>
    <w:uiPriority w:val="99"/>
    <w:pPr>
      <w:jc w:val="left"/>
    </w:pPr>
  </w:style>
  <w:style w:type="paragraph" w:styleId="7">
    <w:name w:val="Body Text"/>
    <w:basedOn w:val="1"/>
    <w:link w:val="35"/>
    <w:qFormat/>
    <w:uiPriority w:val="99"/>
    <w:pPr>
      <w:jc w:val="left"/>
    </w:pPr>
    <w:rPr>
      <w:rFonts w:ascii="楷体_GB2312" w:hAnsi="华文楷体" w:eastAsia="楷体_GB2312"/>
      <w:sz w:val="28"/>
      <w:szCs w:val="28"/>
    </w:rPr>
  </w:style>
  <w:style w:type="paragraph" w:styleId="8">
    <w:name w:val="Body Text Indent"/>
    <w:basedOn w:val="1"/>
    <w:link w:val="36"/>
    <w:qFormat/>
    <w:uiPriority w:val="99"/>
    <w:pPr>
      <w:spacing w:after="120"/>
      <w:ind w:left="420" w:leftChars="200"/>
    </w:pPr>
  </w:style>
  <w:style w:type="paragraph" w:styleId="9">
    <w:name w:val="index 4"/>
    <w:basedOn w:val="1"/>
    <w:next w:val="1"/>
    <w:qFormat/>
    <w:uiPriority w:val="0"/>
    <w:pPr>
      <w:spacing w:line="460" w:lineRule="exact"/>
      <w:ind w:left="1260"/>
    </w:pPr>
    <w:rPr>
      <w:szCs w:val="21"/>
    </w:rPr>
  </w:style>
  <w:style w:type="paragraph" w:styleId="10">
    <w:name w:val="Plain Text"/>
    <w:basedOn w:val="1"/>
    <w:link w:val="39"/>
    <w:qFormat/>
    <w:uiPriority w:val="0"/>
    <w:rPr>
      <w:rFonts w:ascii="宋体" w:hAnsi="Courier New" w:cs="Courier New"/>
      <w:szCs w:val="21"/>
    </w:rPr>
  </w:style>
  <w:style w:type="paragraph" w:styleId="11">
    <w:name w:val="Date"/>
    <w:basedOn w:val="1"/>
    <w:next w:val="1"/>
    <w:link w:val="37"/>
    <w:qFormat/>
    <w:uiPriority w:val="99"/>
    <w:pPr>
      <w:ind w:left="100" w:leftChars="2500"/>
    </w:pPr>
    <w:rPr>
      <w:rFonts w:eastAsia="楷体_GB2312"/>
      <w:b/>
      <w:bCs/>
      <w:sz w:val="32"/>
    </w:rPr>
  </w:style>
  <w:style w:type="paragraph" w:styleId="12">
    <w:name w:val="Body Text Indent 2"/>
    <w:basedOn w:val="1"/>
    <w:link w:val="38"/>
    <w:qFormat/>
    <w:uiPriority w:val="99"/>
    <w:pPr>
      <w:spacing w:after="120" w:line="480" w:lineRule="auto"/>
      <w:ind w:left="420" w:leftChars="200"/>
    </w:pPr>
  </w:style>
  <w:style w:type="paragraph" w:styleId="13">
    <w:name w:val="Balloon Text"/>
    <w:basedOn w:val="1"/>
    <w:link w:val="41"/>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296"/>
      </w:tabs>
      <w:spacing w:line="360" w:lineRule="auto"/>
    </w:pPr>
  </w:style>
  <w:style w:type="paragraph" w:styleId="17">
    <w:name w:val="Body Text 2"/>
    <w:basedOn w:val="1"/>
    <w:link w:val="57"/>
    <w:qFormat/>
    <w:uiPriority w:val="99"/>
    <w:pPr>
      <w:spacing w:after="120" w:line="480" w:lineRule="auto"/>
    </w:pPr>
  </w:style>
  <w:style w:type="paragraph" w:styleId="18">
    <w:name w:val="Normal (Web)"/>
    <w:basedOn w:val="1"/>
    <w:qFormat/>
    <w:uiPriority w:val="0"/>
    <w:pPr>
      <w:spacing w:before="100" w:beforeAutospacing="1" w:after="100" w:afterAutospacing="1"/>
      <w:jc w:val="left"/>
    </w:pPr>
    <w:rPr>
      <w:kern w:val="0"/>
      <w:sz w:val="24"/>
      <w:szCs w:val="20"/>
    </w:rPr>
  </w:style>
  <w:style w:type="paragraph" w:styleId="19">
    <w:name w:val="Title"/>
    <w:basedOn w:val="1"/>
    <w:link w:val="34"/>
    <w:qFormat/>
    <w:uiPriority w:val="10"/>
    <w:pPr>
      <w:adjustRightInd w:val="0"/>
      <w:spacing w:before="240" w:after="60" w:line="420" w:lineRule="atLeast"/>
      <w:jc w:val="center"/>
      <w:outlineLvl w:val="0"/>
    </w:pPr>
    <w:rPr>
      <w:rFonts w:ascii="Arial" w:hAnsi="Arial"/>
      <w:b/>
      <w:kern w:val="0"/>
      <w:sz w:val="32"/>
      <w:szCs w:val="20"/>
    </w:rPr>
  </w:style>
  <w:style w:type="paragraph" w:styleId="20">
    <w:name w:val="annotation subject"/>
    <w:basedOn w:val="6"/>
    <w:next w:val="6"/>
    <w:link w:val="40"/>
    <w:qFormat/>
    <w:uiPriority w:val="99"/>
    <w:rPr>
      <w:b/>
      <w:bCs/>
    </w:rPr>
  </w:style>
  <w:style w:type="paragraph" w:styleId="21">
    <w:name w:val="Body Text First Indent 2"/>
    <w:basedOn w:val="8"/>
    <w:qFormat/>
    <w:uiPriority w:val="0"/>
    <w:pPr>
      <w:tabs>
        <w:tab w:val="left" w:pos="0"/>
        <w:tab w:val="left" w:pos="993"/>
        <w:tab w:val="left" w:pos="1134"/>
      </w:tabs>
      <w:ind w:firstLine="420"/>
    </w:pPr>
    <w:rPr>
      <w:rFonts w:ascii="Times New Roman" w:hAnsi="Times New Roman"/>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qFormat/>
    <w:uiPriority w:val="99"/>
    <w:rPr>
      <w:color w:val="800080"/>
      <w:u w:val="single"/>
    </w:rPr>
  </w:style>
  <w:style w:type="character" w:styleId="26">
    <w:name w:val="Hyperlink"/>
    <w:qFormat/>
    <w:uiPriority w:val="99"/>
    <w:rPr>
      <w:color w:val="0000FF"/>
      <w:u w:val="single"/>
    </w:rPr>
  </w:style>
  <w:style w:type="character" w:styleId="27">
    <w:name w:val="annotation reference"/>
    <w:qFormat/>
    <w:uiPriority w:val="0"/>
    <w:rPr>
      <w:sz w:val="21"/>
      <w:szCs w:val="21"/>
    </w:rPr>
  </w:style>
  <w:style w:type="paragraph" w:customStyle="1" w:styleId="28">
    <w:name w:val="Default"/>
    <w:qFormat/>
    <w:uiPriority w:val="0"/>
    <w:pPr>
      <w:widowControl w:val="0"/>
      <w:autoSpaceDE w:val="0"/>
      <w:autoSpaceDN w:val="0"/>
      <w:adjustRightInd w:val="0"/>
    </w:pPr>
    <w:rPr>
      <w:rFonts w:ascii="等线" w:hAnsi="等线" w:eastAsia="等线" w:cs="Times New Roman"/>
      <w:color w:val="000000"/>
      <w:sz w:val="24"/>
      <w:szCs w:val="24"/>
      <w:lang w:val="en-US" w:eastAsia="zh-CN" w:bidi="ar-SA"/>
    </w:rPr>
  </w:style>
  <w:style w:type="character" w:customStyle="1" w:styleId="29">
    <w:name w:val="标题 1 字符"/>
    <w:basedOn w:val="24"/>
    <w:link w:val="2"/>
    <w:qFormat/>
    <w:uiPriority w:val="0"/>
    <w:rPr>
      <w:rFonts w:ascii="宋体" w:hAnsi="宋体" w:eastAsia="宋体" w:cs="宋体"/>
      <w:b/>
      <w:sz w:val="28"/>
      <w:szCs w:val="20"/>
    </w:rPr>
  </w:style>
  <w:style w:type="character" w:customStyle="1" w:styleId="30">
    <w:name w:val="标题 3 字符"/>
    <w:basedOn w:val="24"/>
    <w:link w:val="4"/>
    <w:qFormat/>
    <w:uiPriority w:val="0"/>
    <w:rPr>
      <w:rFonts w:ascii="Calibri" w:hAnsi="Calibri" w:eastAsia="宋体" w:cs="宋体"/>
      <w:b/>
      <w:sz w:val="32"/>
      <w:szCs w:val="20"/>
    </w:rPr>
  </w:style>
  <w:style w:type="character" w:customStyle="1" w:styleId="31">
    <w:name w:val="批注文字 字符"/>
    <w:basedOn w:val="24"/>
    <w:link w:val="6"/>
    <w:qFormat/>
    <w:uiPriority w:val="99"/>
    <w:rPr>
      <w:rFonts w:ascii="Calibri" w:hAnsi="Calibri" w:eastAsia="宋体" w:cs="Times New Roman"/>
      <w:szCs w:val="24"/>
    </w:rPr>
  </w:style>
  <w:style w:type="character" w:customStyle="1" w:styleId="32">
    <w:name w:val="页眉 字符"/>
    <w:basedOn w:val="24"/>
    <w:link w:val="15"/>
    <w:qFormat/>
    <w:uiPriority w:val="99"/>
    <w:rPr>
      <w:rFonts w:ascii="Calibri" w:hAnsi="Calibri" w:eastAsia="宋体" w:cs="Times New Roman"/>
      <w:sz w:val="18"/>
      <w:szCs w:val="18"/>
    </w:rPr>
  </w:style>
  <w:style w:type="character" w:customStyle="1" w:styleId="33">
    <w:name w:val="页脚 字符"/>
    <w:basedOn w:val="24"/>
    <w:link w:val="14"/>
    <w:qFormat/>
    <w:uiPriority w:val="99"/>
    <w:rPr>
      <w:rFonts w:ascii="Calibri" w:hAnsi="Calibri" w:eastAsia="宋体" w:cs="Times New Roman"/>
      <w:sz w:val="18"/>
      <w:szCs w:val="18"/>
    </w:rPr>
  </w:style>
  <w:style w:type="character" w:customStyle="1" w:styleId="34">
    <w:name w:val="标题 字符"/>
    <w:basedOn w:val="24"/>
    <w:link w:val="19"/>
    <w:qFormat/>
    <w:uiPriority w:val="99"/>
    <w:rPr>
      <w:rFonts w:ascii="Arial" w:hAnsi="Arial" w:eastAsia="宋体" w:cs="Times New Roman"/>
      <w:b/>
      <w:kern w:val="0"/>
      <w:sz w:val="32"/>
      <w:szCs w:val="20"/>
    </w:rPr>
  </w:style>
  <w:style w:type="character" w:customStyle="1" w:styleId="35">
    <w:name w:val="正文文本 字符"/>
    <w:basedOn w:val="24"/>
    <w:link w:val="7"/>
    <w:qFormat/>
    <w:uiPriority w:val="99"/>
    <w:rPr>
      <w:rFonts w:ascii="楷体_GB2312" w:hAnsi="华文楷体" w:eastAsia="楷体_GB2312" w:cs="Times New Roman"/>
      <w:sz w:val="28"/>
      <w:szCs w:val="28"/>
    </w:rPr>
  </w:style>
  <w:style w:type="character" w:customStyle="1" w:styleId="36">
    <w:name w:val="正文文本缩进 字符"/>
    <w:basedOn w:val="24"/>
    <w:link w:val="8"/>
    <w:qFormat/>
    <w:uiPriority w:val="99"/>
    <w:rPr>
      <w:rFonts w:ascii="Calibri" w:hAnsi="Calibri" w:eastAsia="宋体" w:cs="Times New Roman"/>
      <w:szCs w:val="24"/>
    </w:rPr>
  </w:style>
  <w:style w:type="character" w:customStyle="1" w:styleId="37">
    <w:name w:val="日期 字符"/>
    <w:basedOn w:val="24"/>
    <w:link w:val="11"/>
    <w:qFormat/>
    <w:uiPriority w:val="99"/>
    <w:rPr>
      <w:rFonts w:ascii="Calibri" w:hAnsi="Calibri" w:eastAsia="楷体_GB2312" w:cs="Times New Roman"/>
      <w:b/>
      <w:bCs/>
      <w:sz w:val="32"/>
      <w:szCs w:val="24"/>
    </w:rPr>
  </w:style>
  <w:style w:type="character" w:customStyle="1" w:styleId="38">
    <w:name w:val="正文文本缩进 2 字符"/>
    <w:basedOn w:val="24"/>
    <w:link w:val="12"/>
    <w:qFormat/>
    <w:uiPriority w:val="99"/>
    <w:rPr>
      <w:rFonts w:ascii="Calibri" w:hAnsi="Calibri" w:eastAsia="宋体" w:cs="Times New Roman"/>
      <w:szCs w:val="24"/>
    </w:rPr>
  </w:style>
  <w:style w:type="character" w:customStyle="1" w:styleId="39">
    <w:name w:val="纯文本 字符"/>
    <w:basedOn w:val="24"/>
    <w:link w:val="10"/>
    <w:qFormat/>
    <w:uiPriority w:val="0"/>
    <w:rPr>
      <w:rFonts w:ascii="宋体" w:hAnsi="Courier New" w:eastAsia="宋体" w:cs="Courier New"/>
      <w:szCs w:val="21"/>
    </w:rPr>
  </w:style>
  <w:style w:type="character" w:customStyle="1" w:styleId="40">
    <w:name w:val="批注主题 字符"/>
    <w:basedOn w:val="31"/>
    <w:link w:val="20"/>
    <w:qFormat/>
    <w:uiPriority w:val="99"/>
    <w:rPr>
      <w:rFonts w:ascii="Calibri" w:hAnsi="Calibri" w:eastAsia="宋体" w:cs="Times New Roman"/>
      <w:b/>
      <w:bCs/>
      <w:szCs w:val="24"/>
    </w:rPr>
  </w:style>
  <w:style w:type="character" w:customStyle="1" w:styleId="41">
    <w:name w:val="批注框文本 字符"/>
    <w:basedOn w:val="24"/>
    <w:link w:val="13"/>
    <w:qFormat/>
    <w:uiPriority w:val="99"/>
    <w:rPr>
      <w:rFonts w:ascii="Calibri" w:hAnsi="Calibri" w:eastAsia="宋体" w:cs="Times New Roman"/>
      <w:sz w:val="18"/>
      <w:szCs w:val="18"/>
    </w:rPr>
  </w:style>
  <w:style w:type="paragraph" w:styleId="42">
    <w:name w:val="List Paragraph"/>
    <w:basedOn w:val="1"/>
    <w:qFormat/>
    <w:uiPriority w:val="34"/>
    <w:pPr>
      <w:ind w:firstLine="420" w:firstLineChars="200"/>
    </w:pPr>
    <w:rPr>
      <w:szCs w:val="20"/>
    </w:rPr>
  </w:style>
  <w:style w:type="paragraph" w:customStyle="1" w:styleId="43">
    <w:name w:val="Char Char1 Char Char Char Char Char Char"/>
    <w:basedOn w:val="1"/>
    <w:qFormat/>
    <w:uiPriority w:val="99"/>
    <w:pPr>
      <w:widowControl/>
      <w:spacing w:after="160" w:line="240" w:lineRule="exact"/>
      <w:jc w:val="left"/>
    </w:pPr>
    <w:rPr>
      <w:szCs w:val="20"/>
    </w:rPr>
  </w:style>
  <w:style w:type="paragraph" w:customStyle="1" w:styleId="44">
    <w:name w:val="2"/>
    <w:basedOn w:val="1"/>
    <w:qFormat/>
    <w:uiPriority w:val="99"/>
    <w:pPr>
      <w:widowControl/>
      <w:spacing w:before="100" w:beforeAutospacing="1" w:after="100" w:afterAutospacing="1"/>
      <w:jc w:val="left"/>
    </w:pPr>
    <w:rPr>
      <w:rFonts w:ascii="宋体" w:hAnsi="宋体" w:cs="宋体"/>
      <w:kern w:val="0"/>
      <w:sz w:val="24"/>
    </w:rPr>
  </w:style>
  <w:style w:type="paragraph" w:customStyle="1" w:styleId="45">
    <w:name w:val="列出段落1"/>
    <w:basedOn w:val="1"/>
    <w:qFormat/>
    <w:uiPriority w:val="34"/>
    <w:pPr>
      <w:ind w:firstLine="420" w:firstLineChars="200"/>
    </w:pPr>
  </w:style>
  <w:style w:type="paragraph" w:customStyle="1" w:styleId="46">
    <w:name w:val="Char"/>
    <w:basedOn w:val="1"/>
    <w:qFormat/>
    <w:uiPriority w:val="99"/>
    <w:pPr>
      <w:widowControl/>
      <w:spacing w:after="160" w:line="240" w:lineRule="exact"/>
      <w:jc w:val="left"/>
    </w:pPr>
  </w:style>
  <w:style w:type="paragraph" w:customStyle="1" w:styleId="47">
    <w:name w:val="正文_2"/>
    <w:qFormat/>
    <w:uiPriority w:val="99"/>
    <w:rPr>
      <w:rFonts w:ascii="Calibri" w:hAnsi="Calibri" w:eastAsia="宋体" w:cs="Times New Roman"/>
      <w:sz w:val="21"/>
      <w:szCs w:val="22"/>
      <w:lang w:val="en-US" w:eastAsia="zh-CN" w:bidi="ar-SA"/>
    </w:rPr>
  </w:style>
  <w:style w:type="paragraph" w:customStyle="1" w:styleId="48">
    <w:name w:val="正文_0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49">
    <w:name w:val="标题 Char1"/>
    <w:basedOn w:val="24"/>
    <w:qFormat/>
    <w:uiPriority w:val="10"/>
    <w:rPr>
      <w:rFonts w:hint="default" w:ascii="Cambria" w:hAnsi="Cambria" w:cs="宋体"/>
      <w:b/>
      <w:bCs/>
      <w:kern w:val="2"/>
      <w:sz w:val="32"/>
      <w:szCs w:val="32"/>
    </w:rPr>
  </w:style>
  <w:style w:type="character" w:customStyle="1" w:styleId="50">
    <w:name w:val="批注文字 Char1"/>
    <w:basedOn w:val="24"/>
    <w:qFormat/>
    <w:uiPriority w:val="99"/>
    <w:rPr>
      <w:kern w:val="2"/>
      <w:sz w:val="21"/>
      <w:szCs w:val="24"/>
    </w:rPr>
  </w:style>
  <w:style w:type="character" w:customStyle="1" w:styleId="51">
    <w:name w:val="批注主题 Char1"/>
    <w:basedOn w:val="50"/>
    <w:qFormat/>
    <w:uiPriority w:val="99"/>
    <w:rPr>
      <w:b/>
      <w:bCs/>
      <w:kern w:val="2"/>
      <w:sz w:val="21"/>
      <w:szCs w:val="24"/>
    </w:rPr>
  </w:style>
  <w:style w:type="paragraph" w:customStyle="1" w:styleId="52">
    <w:name w:val="TOC 标题1"/>
    <w:basedOn w:val="2"/>
    <w:next w:val="1"/>
    <w:qFormat/>
    <w:uiPriority w:val="39"/>
    <w:pPr>
      <w:keepLines/>
      <w:widowControl/>
      <w:spacing w:before="240" w:line="259" w:lineRule="auto"/>
      <w:jc w:val="left"/>
      <w:outlineLvl w:val="9"/>
    </w:pPr>
    <w:rPr>
      <w:rFonts w:ascii="Cambria" w:hAnsi="Cambria"/>
      <w:b w:val="0"/>
      <w:color w:val="376092"/>
      <w:kern w:val="0"/>
      <w:sz w:val="32"/>
      <w:szCs w:val="32"/>
    </w:rPr>
  </w:style>
  <w:style w:type="character" w:customStyle="1" w:styleId="53">
    <w:name w:val="Blockquote Char Char"/>
    <w:link w:val="54"/>
    <w:qFormat/>
    <w:uiPriority w:val="0"/>
    <w:rPr>
      <w:sz w:val="24"/>
    </w:rPr>
  </w:style>
  <w:style w:type="paragraph" w:customStyle="1" w:styleId="54">
    <w:name w:val="Blockquote"/>
    <w:basedOn w:val="1"/>
    <w:link w:val="53"/>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55">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56">
    <w:name w:val="正文_0"/>
    <w:qFormat/>
    <w:uiPriority w:val="0"/>
    <w:pPr>
      <w:widowControl w:val="0"/>
      <w:ind w:firstLine="360"/>
      <w:jc w:val="both"/>
    </w:pPr>
    <w:rPr>
      <w:rFonts w:ascii="Times New Roman" w:hAnsi="Times New Roman" w:eastAsia="宋体" w:cs="Times New Roman"/>
      <w:kern w:val="2"/>
      <w:sz w:val="21"/>
      <w:szCs w:val="22"/>
      <w:lang w:val="en-US" w:eastAsia="zh-CN" w:bidi="ar-SA"/>
    </w:rPr>
  </w:style>
  <w:style w:type="character" w:customStyle="1" w:styleId="57">
    <w:name w:val="正文文本 2 字符"/>
    <w:basedOn w:val="24"/>
    <w:link w:val="17"/>
    <w:qFormat/>
    <w:uiPriority w:val="99"/>
    <w:rPr>
      <w:rFonts w:ascii="Calibri" w:hAnsi="Calibri" w:eastAsia="宋体" w:cs="Times New Roman"/>
      <w:kern w:val="2"/>
      <w:sz w:val="21"/>
      <w:szCs w:val="24"/>
    </w:rPr>
  </w:style>
  <w:style w:type="character" w:customStyle="1" w:styleId="58">
    <w:name w:val="NormalCharacter"/>
    <w:qFormat/>
    <w:uiPriority w:val="0"/>
  </w:style>
  <w:style w:type="paragraph" w:customStyle="1" w:styleId="5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60">
    <w:name w:val="宋体小四正文"/>
    <w:basedOn w:val="1"/>
    <w:link w:val="61"/>
    <w:qFormat/>
    <w:uiPriority w:val="0"/>
    <w:pPr>
      <w:spacing w:line="360" w:lineRule="auto"/>
      <w:ind w:firstLine="200" w:firstLineChars="200"/>
    </w:pPr>
    <w:rPr>
      <w:rFonts w:ascii="宋体" w:hAnsi="宋体" w:cs="宋体"/>
      <w:color w:val="000000"/>
      <w:sz w:val="24"/>
      <w:szCs w:val="28"/>
    </w:rPr>
  </w:style>
  <w:style w:type="character" w:customStyle="1" w:styleId="61">
    <w:name w:val="宋体小四正文 字符"/>
    <w:basedOn w:val="24"/>
    <w:link w:val="60"/>
    <w:qFormat/>
    <w:uiPriority w:val="0"/>
    <w:rPr>
      <w:rFonts w:ascii="宋体" w:hAnsi="宋体" w:eastAsia="宋体"/>
      <w:color w:val="000000"/>
      <w:kern w:val="2"/>
      <w:sz w:val="24"/>
      <w:szCs w:val="28"/>
    </w:rPr>
  </w:style>
  <w:style w:type="paragraph" w:customStyle="1" w:styleId="62">
    <w:name w:val="(符号)标书正文"/>
    <w:basedOn w:val="1"/>
    <w:qFormat/>
    <w:uiPriority w:val="0"/>
    <w:pPr>
      <w:spacing w:before="100" w:beforeAutospacing="1" w:after="100" w:afterAutospacing="1" w:line="460" w:lineRule="exact"/>
      <w:ind w:left="420"/>
    </w:pPr>
    <w:rPr>
      <w:rFonts w:ascii="宋体" w:hAnsi="宋体"/>
      <w:color w:val="000000"/>
      <w:sz w:val="24"/>
      <w:szCs w:val="22"/>
    </w:rPr>
  </w:style>
  <w:style w:type="paragraph" w:customStyle="1" w:styleId="63">
    <w:name w:val="正文表标题"/>
    <w:next w:val="1"/>
    <w:qFormat/>
    <w:uiPriority w:val="0"/>
    <w:pPr>
      <w:spacing w:before="156" w:beforeLines="50" w:after="156" w:afterLines="50"/>
      <w:jc w:val="center"/>
    </w:pPr>
    <w:rPr>
      <w:rFonts w:ascii="黑体" w:hAnsi="Times New Roman" w:eastAsia="黑体" w:cs="Times New Roman"/>
      <w:sz w:val="21"/>
      <w:lang w:val="en-US" w:eastAsia="zh-CN" w:bidi="ar-SA"/>
    </w:rPr>
  </w:style>
  <w:style w:type="paragraph" w:customStyle="1" w:styleId="64">
    <w:name w:val="UserStyle_6"/>
    <w:basedOn w:val="1"/>
    <w:autoRedefine/>
    <w:qFormat/>
    <w:uiPriority w:val="0"/>
    <w:pPr>
      <w:widowControl/>
      <w:textAlignment w:val="baseline"/>
    </w:pPr>
    <w:rPr>
      <w:rFonts w:ascii="宋体" w:hAnsi="宋体"/>
      <w:sz w:val="24"/>
      <w:lang w:val="zh-CN" w:bidi="zh-CN"/>
    </w:rPr>
  </w:style>
  <w:style w:type="paragraph" w:customStyle="1" w:styleId="65">
    <w:name w:val="正文（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E192B5-A6FF-4DDC-BAD7-B6B560D38FD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21</Pages>
  <Words>6579</Words>
  <Characters>6832</Characters>
  <Lines>76</Lines>
  <Paragraphs>21</Paragraphs>
  <TotalTime>11</TotalTime>
  <ScaleCrop>false</ScaleCrop>
  <LinksUpToDate>false</LinksUpToDate>
  <CharactersWithSpaces>6930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2026-03-03T03:41:00Z</dcterms:created>
  <dc:creator>未定义</dc:creator>
  <cp:lastModifiedBy>艾伦小天使</cp:lastModifiedBy>
  <cp:lastPrinted>2020-05-07T09:24:00Z</cp:lastPrinted>
  <dcterms:modified xsi:type="dcterms:W3CDTF">2026-07-14T06:38:15Z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627E2F6AD3964886940D0D830D626B53_13</vt:lpwstr>
  </property>
  <property fmtid="{D5CDD505-2E9C-101B-9397-08002B2CF9AE}" pid="4" name="KSOTemplateDocerSaveRecord">
    <vt:lpwstr>eyJoZGlkIjoiYTBhZWI3NWRmZjY0ZGIxMWVjM2QyOTRhYjhiZjJiYWMiLCJ1c2VySWQiOiIzNTEzODI1MDgifQ==</vt:lpwstr>
  </property>
</Properties>
</file>