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28A56">
      <w:pPr>
        <w:jc w:val="right"/>
        <w:rPr>
          <w:rFonts w:ascii="宋体" w:hAnsi="宋体" w:cs="宋体"/>
          <w:b/>
          <w:bCs/>
          <w:color w:val="auto"/>
          <w:sz w:val="32"/>
          <w:szCs w:val="32"/>
        </w:rPr>
      </w:pPr>
      <w:r>
        <w:rPr>
          <w:rFonts w:hint="eastAsia" w:ascii="宋体" w:hAnsi="宋体" w:cs="宋体"/>
          <w:b/>
          <w:bCs/>
          <w:color w:val="auto"/>
          <w:sz w:val="32"/>
          <w:szCs w:val="32"/>
          <w:lang w:eastAsia="zh-CN"/>
        </w:rPr>
        <w:t>YDFYSW-20260701</w:t>
      </w:r>
      <w:r>
        <w:rPr>
          <w:rFonts w:hint="eastAsia" w:ascii="宋体" w:hAnsi="宋体" w:cs="宋体"/>
          <w:b/>
          <w:bCs/>
          <w:color w:val="auto"/>
          <w:sz w:val="32"/>
          <w:szCs w:val="32"/>
        </w:rPr>
        <w:t>号</w:t>
      </w:r>
    </w:p>
    <w:p w14:paraId="75401669">
      <w:pPr>
        <w:jc w:val="left"/>
        <w:rPr>
          <w:b/>
          <w:bCs/>
          <w:color w:val="auto"/>
          <w:sz w:val="36"/>
        </w:rPr>
      </w:pPr>
    </w:p>
    <w:p w14:paraId="19995651">
      <w:pPr>
        <w:jc w:val="center"/>
        <w:rPr>
          <w:b/>
          <w:bCs/>
          <w:color w:val="auto"/>
          <w:sz w:val="36"/>
        </w:rPr>
      </w:pPr>
      <w:r>
        <w:rPr>
          <w:rFonts w:hint="eastAsia"/>
          <w:b/>
          <w:bCs/>
          <w:color w:val="auto"/>
          <w:sz w:val="36"/>
        </w:rPr>
        <w:t>扬州大学附属医院住院入口（服务大厅）扩建项目、门诊楼扩建项目、既有建筑改造项目、病房改造提升项目建议书及可行性研究报告编制项目</w:t>
      </w:r>
    </w:p>
    <w:p w14:paraId="4673F90C">
      <w:pPr>
        <w:jc w:val="center"/>
        <w:rPr>
          <w:b/>
          <w:bCs/>
          <w:color w:val="auto"/>
          <w:sz w:val="36"/>
        </w:rPr>
      </w:pPr>
      <w:r>
        <w:rPr>
          <w:b/>
          <w:bCs/>
          <w:color w:val="auto"/>
          <w:sz w:val="36"/>
        </w:rPr>
        <w:t>竞争性磋商文件</w:t>
      </w:r>
    </w:p>
    <w:p w14:paraId="086949B6">
      <w:pPr>
        <w:jc w:val="center"/>
        <w:rPr>
          <w:color w:val="auto"/>
          <w:sz w:val="36"/>
        </w:rPr>
      </w:pPr>
      <w:r>
        <w:rPr>
          <w:rFonts w:hint="eastAsia"/>
          <w:color w:val="auto"/>
          <w:sz w:val="36"/>
        </w:rPr>
        <w:drawing>
          <wp:inline distT="0" distB="0" distL="114300" distR="114300">
            <wp:extent cx="5481955" cy="4156075"/>
            <wp:effectExtent l="0" t="0" r="4445" b="1587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8"/>
                    <a:stretch>
                      <a:fillRect/>
                    </a:stretch>
                  </pic:blipFill>
                  <pic:spPr>
                    <a:xfrm>
                      <a:off x="0" y="0"/>
                      <a:ext cx="5481955" cy="4156075"/>
                    </a:xfrm>
                    <a:prstGeom prst="rect">
                      <a:avLst/>
                    </a:prstGeom>
                  </pic:spPr>
                </pic:pic>
              </a:graphicData>
            </a:graphic>
          </wp:inline>
        </w:drawing>
      </w:r>
    </w:p>
    <w:p w14:paraId="6ED27131">
      <w:pPr>
        <w:rPr>
          <w:color w:val="auto"/>
        </w:rPr>
      </w:pPr>
    </w:p>
    <w:p w14:paraId="54710529">
      <w:pPr>
        <w:jc w:val="center"/>
        <w:rPr>
          <w:b/>
          <w:bCs/>
          <w:color w:val="auto"/>
          <w:sz w:val="36"/>
        </w:rPr>
      </w:pPr>
      <w:r>
        <w:rPr>
          <w:rFonts w:hint="eastAsia"/>
          <w:b/>
          <w:bCs/>
          <w:color w:val="auto"/>
          <w:sz w:val="36"/>
        </w:rPr>
        <w:t>江苏苏维工程管理有限公司</w:t>
      </w:r>
    </w:p>
    <w:p w14:paraId="324F82F8">
      <w:pPr>
        <w:jc w:val="center"/>
        <w:rPr>
          <w:b/>
          <w:bCs/>
          <w:color w:val="auto"/>
          <w:sz w:val="36"/>
        </w:rPr>
      </w:pPr>
      <w:r>
        <w:rPr>
          <w:b/>
          <w:bCs/>
          <w:color w:val="auto"/>
          <w:sz w:val="36"/>
        </w:rPr>
        <w:t>202</w:t>
      </w:r>
      <w:r>
        <w:rPr>
          <w:rFonts w:hint="eastAsia"/>
          <w:b/>
          <w:bCs/>
          <w:color w:val="auto"/>
          <w:sz w:val="36"/>
        </w:rPr>
        <w:t>6</w:t>
      </w:r>
      <w:r>
        <w:rPr>
          <w:b/>
          <w:bCs/>
          <w:color w:val="auto"/>
          <w:sz w:val="36"/>
        </w:rPr>
        <w:t>年</w:t>
      </w:r>
      <w:r>
        <w:rPr>
          <w:rFonts w:hint="eastAsia"/>
          <w:b/>
          <w:bCs/>
          <w:color w:val="auto"/>
          <w:sz w:val="36"/>
          <w:lang w:val="en-US" w:eastAsia="zh-CN"/>
        </w:rPr>
        <w:t>7</w:t>
      </w:r>
      <w:r>
        <w:rPr>
          <w:b/>
          <w:bCs/>
          <w:color w:val="auto"/>
          <w:sz w:val="36"/>
        </w:rPr>
        <w:t>月</w:t>
      </w:r>
    </w:p>
    <w:p w14:paraId="77B3512F">
      <w:pPr>
        <w:spacing w:line="360" w:lineRule="auto"/>
        <w:jc w:val="center"/>
        <w:rPr>
          <w:color w:val="auto"/>
          <w:sz w:val="44"/>
          <w:szCs w:val="44"/>
        </w:rPr>
      </w:pPr>
    </w:p>
    <w:p w14:paraId="695E09FD">
      <w:pPr>
        <w:spacing w:line="360" w:lineRule="auto"/>
        <w:jc w:val="center"/>
        <w:rPr>
          <w:color w:val="auto"/>
          <w:sz w:val="44"/>
          <w:szCs w:val="44"/>
        </w:rPr>
      </w:pPr>
    </w:p>
    <w:p w14:paraId="0DBEADA3">
      <w:pPr>
        <w:spacing w:line="360" w:lineRule="auto"/>
        <w:jc w:val="center"/>
        <w:rPr>
          <w:color w:val="auto"/>
          <w:sz w:val="44"/>
          <w:szCs w:val="44"/>
        </w:rPr>
        <w:sectPr>
          <w:headerReference r:id="rId3" w:type="default"/>
          <w:footerReference r:id="rId4" w:type="default"/>
          <w:pgSz w:w="11906" w:h="16838"/>
          <w:pgMar w:top="1270" w:right="1083" w:bottom="1270" w:left="1083" w:header="1191" w:footer="992" w:gutter="0"/>
          <w:pgBorders>
            <w:top w:val="none" w:sz="0" w:space="0"/>
            <w:left w:val="none" w:sz="0" w:space="0"/>
            <w:bottom w:val="none" w:sz="0" w:space="0"/>
            <w:right w:val="none" w:sz="0" w:space="0"/>
          </w:pgBorders>
          <w:pgNumType w:fmt="numberInDash"/>
          <w:cols w:space="0" w:num="1"/>
          <w:docGrid w:type="lines" w:linePitch="325" w:charSpace="0"/>
        </w:sectPr>
      </w:pPr>
    </w:p>
    <w:sdt>
      <w:sdtPr>
        <w:rPr>
          <w:rFonts w:hint="eastAsia" w:ascii="宋体" w:hAnsi="宋体" w:cs="宋体"/>
          <w:b/>
          <w:bCs/>
          <w:color w:val="auto"/>
          <w:sz w:val="24"/>
          <w:szCs w:val="24"/>
        </w:rPr>
        <w:id w:val="147452766"/>
        <w:docPartObj>
          <w:docPartGallery w:val="Table of Contents"/>
          <w:docPartUnique/>
        </w:docPartObj>
      </w:sdtPr>
      <w:sdtEndPr>
        <w:rPr>
          <w:rFonts w:hint="eastAsia" w:ascii="Times New Roman" w:hAnsi="Times New Roman" w:cs="Times New Roman"/>
          <w:b/>
          <w:bCs/>
          <w:color w:val="auto"/>
          <w:sz w:val="21"/>
          <w:szCs w:val="44"/>
        </w:rPr>
      </w:sdtEndPr>
      <w:sdtContent>
        <w:p w14:paraId="54CA155A">
          <w:pPr>
            <w:spacing w:line="545" w:lineRule="auto"/>
            <w:ind w:firstLine="482" w:firstLineChars="200"/>
            <w:jc w:val="center"/>
            <w:rPr>
              <w:rFonts w:ascii="宋体" w:hAnsi="宋体" w:cs="宋体"/>
              <w:b/>
              <w:bCs/>
              <w:color w:val="auto"/>
              <w:sz w:val="24"/>
              <w:szCs w:val="24"/>
            </w:rPr>
          </w:pPr>
          <w:r>
            <w:rPr>
              <w:rFonts w:hint="eastAsia" w:ascii="宋体" w:hAnsi="宋体" w:cs="宋体"/>
              <w:b/>
              <w:bCs/>
              <w:color w:val="auto"/>
              <w:sz w:val="24"/>
              <w:szCs w:val="24"/>
            </w:rPr>
            <w:t>目录</w:t>
          </w:r>
        </w:p>
        <w:p w14:paraId="297F7A2E">
          <w:pPr>
            <w:pStyle w:val="21"/>
            <w:tabs>
              <w:tab w:val="right" w:leader="dot" w:pos="9740"/>
            </w:tabs>
            <w:spacing w:line="545" w:lineRule="auto"/>
            <w:ind w:firstLine="480" w:firstLineChars="200"/>
            <w:rPr>
              <w:rFonts w:ascii="宋体" w:hAnsi="宋体" w:cs="宋体"/>
              <w:color w:val="auto"/>
              <w:sz w:val="24"/>
              <w:szCs w:val="24"/>
            </w:rPr>
          </w:pP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TOC \o "1-2" \h \u </w:instrText>
          </w:r>
          <w:r>
            <w:rPr>
              <w:rFonts w:hint="eastAsia" w:ascii="宋体" w:hAnsi="宋体" w:cs="宋体"/>
              <w:color w:val="auto"/>
              <w:sz w:val="24"/>
              <w:szCs w:val="24"/>
            </w:rPr>
            <w:fldChar w:fldCharType="separate"/>
          </w:r>
          <w:r>
            <w:rPr>
              <w:color w:val="auto"/>
            </w:rPr>
            <w:fldChar w:fldCharType="begin"/>
          </w:r>
          <w:r>
            <w:rPr>
              <w:color w:val="auto"/>
            </w:rPr>
            <w:instrText xml:space="preserve"> HYPERLINK \l "_Toc28271" </w:instrText>
          </w:r>
          <w:r>
            <w:rPr>
              <w:color w:val="auto"/>
            </w:rPr>
            <w:fldChar w:fldCharType="separate"/>
          </w:r>
          <w:r>
            <w:rPr>
              <w:rFonts w:hint="eastAsia" w:ascii="宋体" w:hAnsi="宋体" w:cs="宋体"/>
              <w:color w:val="auto"/>
              <w:sz w:val="24"/>
              <w:szCs w:val="24"/>
            </w:rPr>
            <w:t>第一章 竞争性磋商采购邀请</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_Toc28271 \h </w:instrText>
          </w:r>
          <w:r>
            <w:rPr>
              <w:rFonts w:hint="eastAsia" w:ascii="宋体" w:hAnsi="宋体" w:cs="宋体"/>
              <w:color w:val="auto"/>
              <w:sz w:val="24"/>
              <w:szCs w:val="24"/>
            </w:rPr>
            <w:fldChar w:fldCharType="separate"/>
          </w:r>
          <w:r>
            <w:rPr>
              <w:rFonts w:hint="eastAsia" w:ascii="宋体" w:hAnsi="宋体" w:cs="宋体"/>
              <w:color w:val="auto"/>
              <w:sz w:val="24"/>
              <w:szCs w:val="24"/>
            </w:rPr>
            <w:t>- 1 -</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7185EA0C">
          <w:pPr>
            <w:pStyle w:val="21"/>
            <w:tabs>
              <w:tab w:val="right" w:leader="dot" w:pos="9740"/>
            </w:tabs>
            <w:spacing w:line="545" w:lineRule="auto"/>
            <w:ind w:firstLine="420" w:firstLineChars="200"/>
            <w:rPr>
              <w:rFonts w:ascii="宋体" w:hAnsi="宋体" w:cs="宋体"/>
              <w:color w:val="auto"/>
              <w:sz w:val="24"/>
              <w:szCs w:val="24"/>
            </w:rPr>
          </w:pPr>
          <w:r>
            <w:rPr>
              <w:color w:val="auto"/>
            </w:rPr>
            <w:fldChar w:fldCharType="begin"/>
          </w:r>
          <w:r>
            <w:rPr>
              <w:color w:val="auto"/>
            </w:rPr>
            <w:instrText xml:space="preserve"> HYPERLINK \l "_Toc5214" </w:instrText>
          </w:r>
          <w:r>
            <w:rPr>
              <w:color w:val="auto"/>
            </w:rPr>
            <w:fldChar w:fldCharType="separate"/>
          </w:r>
          <w:r>
            <w:rPr>
              <w:rFonts w:hint="eastAsia" w:ascii="宋体" w:hAnsi="宋体" w:cs="宋体"/>
              <w:color w:val="auto"/>
              <w:sz w:val="24"/>
              <w:szCs w:val="24"/>
            </w:rPr>
            <w:t>第二章 磋商须知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_Toc5214 \h </w:instrText>
          </w:r>
          <w:r>
            <w:rPr>
              <w:rFonts w:hint="eastAsia" w:ascii="宋体" w:hAnsi="宋体" w:cs="宋体"/>
              <w:color w:val="auto"/>
              <w:sz w:val="24"/>
              <w:szCs w:val="24"/>
            </w:rPr>
            <w:fldChar w:fldCharType="separate"/>
          </w:r>
          <w:r>
            <w:rPr>
              <w:rFonts w:hint="eastAsia" w:ascii="宋体" w:hAnsi="宋体" w:cs="宋体"/>
              <w:color w:val="auto"/>
              <w:sz w:val="24"/>
              <w:szCs w:val="24"/>
            </w:rPr>
            <w:t>- 5 -</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0BE4978C">
          <w:pPr>
            <w:pStyle w:val="21"/>
            <w:tabs>
              <w:tab w:val="right" w:leader="dot" w:pos="9740"/>
            </w:tabs>
            <w:spacing w:line="545" w:lineRule="auto"/>
            <w:ind w:firstLine="420" w:firstLineChars="200"/>
            <w:rPr>
              <w:rFonts w:ascii="宋体" w:hAnsi="宋体" w:cs="宋体"/>
              <w:color w:val="auto"/>
              <w:sz w:val="24"/>
              <w:szCs w:val="24"/>
            </w:rPr>
          </w:pPr>
          <w:r>
            <w:rPr>
              <w:color w:val="auto"/>
            </w:rPr>
            <w:fldChar w:fldCharType="begin"/>
          </w:r>
          <w:r>
            <w:rPr>
              <w:color w:val="auto"/>
            </w:rPr>
            <w:instrText xml:space="preserve"> HYPERLINK \l "_Toc29980" </w:instrText>
          </w:r>
          <w:r>
            <w:rPr>
              <w:color w:val="auto"/>
            </w:rPr>
            <w:fldChar w:fldCharType="separate"/>
          </w:r>
          <w:r>
            <w:rPr>
              <w:rFonts w:hint="eastAsia" w:ascii="宋体" w:hAnsi="宋体" w:cs="宋体"/>
              <w:color w:val="auto"/>
              <w:sz w:val="24"/>
              <w:szCs w:val="24"/>
            </w:rPr>
            <w:t>第三章 合同条款及格式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_Toc29980 \h </w:instrText>
          </w:r>
          <w:r>
            <w:rPr>
              <w:rFonts w:hint="eastAsia" w:ascii="宋体" w:hAnsi="宋体" w:cs="宋体"/>
              <w:color w:val="auto"/>
              <w:sz w:val="24"/>
              <w:szCs w:val="24"/>
            </w:rPr>
            <w:fldChar w:fldCharType="separate"/>
          </w:r>
          <w:r>
            <w:rPr>
              <w:rFonts w:hint="eastAsia" w:ascii="宋体" w:hAnsi="宋体" w:cs="宋体"/>
              <w:color w:val="auto"/>
              <w:sz w:val="24"/>
              <w:szCs w:val="24"/>
            </w:rPr>
            <w:t>- 15 -</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4C5EC0CC">
          <w:pPr>
            <w:pStyle w:val="21"/>
            <w:tabs>
              <w:tab w:val="right" w:leader="dot" w:pos="9740"/>
            </w:tabs>
            <w:spacing w:line="545" w:lineRule="auto"/>
            <w:ind w:firstLine="420" w:firstLineChars="200"/>
            <w:rPr>
              <w:rFonts w:ascii="宋体" w:hAnsi="宋体" w:cs="宋体"/>
              <w:color w:val="auto"/>
              <w:sz w:val="24"/>
              <w:szCs w:val="24"/>
            </w:rPr>
          </w:pPr>
          <w:r>
            <w:rPr>
              <w:color w:val="auto"/>
            </w:rPr>
            <w:fldChar w:fldCharType="begin"/>
          </w:r>
          <w:r>
            <w:rPr>
              <w:color w:val="auto"/>
            </w:rPr>
            <w:instrText xml:space="preserve"> HYPERLINK \l "_Toc15541" </w:instrText>
          </w:r>
          <w:r>
            <w:rPr>
              <w:color w:val="auto"/>
            </w:rPr>
            <w:fldChar w:fldCharType="separate"/>
          </w:r>
          <w:r>
            <w:rPr>
              <w:rFonts w:hint="eastAsia" w:ascii="宋体" w:hAnsi="宋体" w:cs="宋体"/>
              <w:color w:val="auto"/>
              <w:sz w:val="24"/>
              <w:szCs w:val="24"/>
            </w:rPr>
            <w:t>第四章 项目需求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_Toc15541 \h </w:instrText>
          </w:r>
          <w:r>
            <w:rPr>
              <w:rFonts w:hint="eastAsia" w:ascii="宋体" w:hAnsi="宋体" w:cs="宋体"/>
              <w:color w:val="auto"/>
              <w:sz w:val="24"/>
              <w:szCs w:val="24"/>
            </w:rPr>
            <w:fldChar w:fldCharType="separate"/>
          </w:r>
          <w:r>
            <w:rPr>
              <w:rFonts w:hint="eastAsia" w:ascii="宋体" w:hAnsi="宋体" w:cs="宋体"/>
              <w:color w:val="auto"/>
              <w:sz w:val="24"/>
              <w:szCs w:val="24"/>
            </w:rPr>
            <w:t>- 20 -</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4CFB4B5D">
          <w:pPr>
            <w:pStyle w:val="21"/>
            <w:tabs>
              <w:tab w:val="right" w:leader="dot" w:pos="9740"/>
            </w:tabs>
            <w:spacing w:line="545" w:lineRule="auto"/>
            <w:ind w:firstLine="420" w:firstLineChars="200"/>
            <w:rPr>
              <w:rFonts w:ascii="宋体" w:hAnsi="宋体" w:cs="宋体"/>
              <w:color w:val="auto"/>
              <w:sz w:val="24"/>
              <w:szCs w:val="24"/>
            </w:rPr>
          </w:pPr>
          <w:r>
            <w:rPr>
              <w:color w:val="auto"/>
            </w:rPr>
            <w:fldChar w:fldCharType="begin"/>
          </w:r>
          <w:r>
            <w:rPr>
              <w:color w:val="auto"/>
            </w:rPr>
            <w:instrText xml:space="preserve"> HYPERLINK \l "_Toc17441" </w:instrText>
          </w:r>
          <w:r>
            <w:rPr>
              <w:color w:val="auto"/>
            </w:rPr>
            <w:fldChar w:fldCharType="separate"/>
          </w:r>
          <w:r>
            <w:rPr>
              <w:rFonts w:hint="eastAsia" w:ascii="宋体" w:hAnsi="宋体" w:cs="宋体"/>
              <w:color w:val="auto"/>
              <w:sz w:val="24"/>
              <w:szCs w:val="24"/>
            </w:rPr>
            <w:t>第五章 评审方法和评审标准</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_Toc17441 \h </w:instrText>
          </w:r>
          <w:r>
            <w:rPr>
              <w:rFonts w:hint="eastAsia" w:ascii="宋体" w:hAnsi="宋体" w:cs="宋体"/>
              <w:color w:val="auto"/>
              <w:sz w:val="24"/>
              <w:szCs w:val="24"/>
            </w:rPr>
            <w:fldChar w:fldCharType="separate"/>
          </w:r>
          <w:r>
            <w:rPr>
              <w:rFonts w:hint="eastAsia" w:ascii="宋体" w:hAnsi="宋体" w:cs="宋体"/>
              <w:color w:val="auto"/>
              <w:sz w:val="24"/>
              <w:szCs w:val="24"/>
            </w:rPr>
            <w:t>- 23 -</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6177F451">
          <w:pPr>
            <w:pStyle w:val="21"/>
            <w:tabs>
              <w:tab w:val="right" w:leader="dot" w:pos="9740"/>
            </w:tabs>
            <w:spacing w:line="545" w:lineRule="auto"/>
            <w:ind w:firstLine="420" w:firstLineChars="200"/>
            <w:rPr>
              <w:rFonts w:ascii="宋体" w:hAnsi="宋体" w:cs="宋体"/>
              <w:color w:val="auto"/>
              <w:sz w:val="24"/>
              <w:szCs w:val="24"/>
            </w:rPr>
          </w:pPr>
          <w:r>
            <w:rPr>
              <w:color w:val="auto"/>
            </w:rPr>
            <w:fldChar w:fldCharType="begin"/>
          </w:r>
          <w:r>
            <w:rPr>
              <w:color w:val="auto"/>
            </w:rPr>
            <w:instrText xml:space="preserve"> HYPERLINK \l "_Toc41" </w:instrText>
          </w:r>
          <w:r>
            <w:rPr>
              <w:color w:val="auto"/>
            </w:rPr>
            <w:fldChar w:fldCharType="separate"/>
          </w:r>
          <w:r>
            <w:rPr>
              <w:rFonts w:hint="eastAsia" w:ascii="宋体" w:hAnsi="宋体" w:cs="宋体"/>
              <w:color w:val="auto"/>
              <w:sz w:val="24"/>
              <w:szCs w:val="24"/>
            </w:rPr>
            <w:t>第六章 竞争性磋商响应文件格式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_Toc41 \h </w:instrText>
          </w:r>
          <w:r>
            <w:rPr>
              <w:rFonts w:hint="eastAsia" w:ascii="宋体" w:hAnsi="宋体" w:cs="宋体"/>
              <w:color w:val="auto"/>
              <w:sz w:val="24"/>
              <w:szCs w:val="24"/>
            </w:rPr>
            <w:fldChar w:fldCharType="separate"/>
          </w:r>
          <w:r>
            <w:rPr>
              <w:rFonts w:hint="eastAsia" w:ascii="宋体" w:hAnsi="宋体" w:cs="宋体"/>
              <w:color w:val="auto"/>
              <w:sz w:val="24"/>
              <w:szCs w:val="24"/>
            </w:rPr>
            <w:t>- 27 -</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5A1B131E">
          <w:pPr>
            <w:pStyle w:val="22"/>
            <w:tabs>
              <w:tab w:val="right" w:leader="dot" w:pos="9740"/>
            </w:tabs>
            <w:spacing w:line="545" w:lineRule="auto"/>
            <w:ind w:left="0" w:leftChars="0" w:firstLine="480" w:firstLineChars="200"/>
            <w:rPr>
              <w:rFonts w:ascii="宋体" w:hAnsi="宋体" w:cs="宋体"/>
              <w:color w:val="auto"/>
              <w:sz w:val="24"/>
              <w:szCs w:val="24"/>
            </w:rPr>
          </w:pPr>
        </w:p>
        <w:p w14:paraId="2805C08B">
          <w:pPr>
            <w:spacing w:line="545" w:lineRule="auto"/>
            <w:ind w:firstLine="480" w:firstLineChars="200"/>
            <w:jc w:val="center"/>
            <w:rPr>
              <w:color w:val="auto"/>
              <w:szCs w:val="44"/>
            </w:rPr>
          </w:pPr>
          <w:r>
            <w:rPr>
              <w:rFonts w:hint="eastAsia" w:ascii="宋体" w:hAnsi="宋体" w:cs="宋体"/>
              <w:color w:val="auto"/>
              <w:sz w:val="24"/>
              <w:szCs w:val="24"/>
            </w:rPr>
            <w:fldChar w:fldCharType="end"/>
          </w:r>
        </w:p>
      </w:sdtContent>
    </w:sdt>
    <w:p w14:paraId="02874DC3">
      <w:pPr>
        <w:spacing w:line="360" w:lineRule="auto"/>
        <w:jc w:val="center"/>
        <w:rPr>
          <w:color w:val="auto"/>
          <w:szCs w:val="44"/>
        </w:rPr>
      </w:pPr>
    </w:p>
    <w:p w14:paraId="1D59743A">
      <w:pPr>
        <w:spacing w:line="360" w:lineRule="auto"/>
        <w:jc w:val="center"/>
        <w:rPr>
          <w:color w:val="auto"/>
          <w:sz w:val="44"/>
          <w:szCs w:val="44"/>
        </w:rPr>
        <w:sectPr>
          <w:footerReference r:id="rId5" w:type="default"/>
          <w:pgSz w:w="11906" w:h="16838"/>
          <w:pgMar w:top="1270" w:right="1083" w:bottom="1270" w:left="1083" w:header="1191" w:footer="992" w:gutter="0"/>
          <w:pgBorders>
            <w:top w:val="none" w:sz="0" w:space="0"/>
            <w:left w:val="none" w:sz="0" w:space="0"/>
            <w:bottom w:val="none" w:sz="0" w:space="0"/>
            <w:right w:val="none" w:sz="0" w:space="0"/>
          </w:pgBorders>
          <w:pgNumType w:fmt="numberInDash" w:start="1"/>
          <w:cols w:space="0" w:num="1"/>
          <w:docGrid w:type="lines" w:linePitch="325" w:charSpace="0"/>
        </w:sectPr>
      </w:pPr>
    </w:p>
    <w:p w14:paraId="4D3A167E">
      <w:pPr>
        <w:spacing w:line="360" w:lineRule="auto"/>
        <w:jc w:val="center"/>
        <w:rPr>
          <w:b/>
          <w:bCs/>
          <w:color w:val="auto"/>
          <w:kern w:val="44"/>
          <w:sz w:val="36"/>
          <w:szCs w:val="36"/>
        </w:rPr>
      </w:pPr>
      <w:bookmarkStart w:id="0" w:name="_Toc497145839"/>
      <w:bookmarkStart w:id="1" w:name="_Toc14936"/>
    </w:p>
    <w:p w14:paraId="11129E7D">
      <w:pPr>
        <w:pStyle w:val="2"/>
        <w:rPr>
          <w:color w:val="auto"/>
          <w:szCs w:val="36"/>
        </w:rPr>
      </w:pPr>
      <w:bookmarkStart w:id="2" w:name="_Toc28271"/>
      <w:r>
        <w:rPr>
          <w:color w:val="auto"/>
        </w:rPr>
        <w:t>第一章 竞争性磋商采购</w:t>
      </w:r>
      <w:bookmarkEnd w:id="0"/>
      <w:bookmarkEnd w:id="1"/>
      <w:bookmarkStart w:id="3" w:name="_Toc497145840"/>
      <w:r>
        <w:rPr>
          <w:rFonts w:hint="eastAsia"/>
          <w:color w:val="auto"/>
        </w:rPr>
        <w:t>邀请</w:t>
      </w:r>
      <w:bookmarkEnd w:id="2"/>
    </w:p>
    <w:p w14:paraId="25B42882">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u w:val="single"/>
        </w:rPr>
        <w:t>江苏苏维工程管理有限公司</w:t>
      </w:r>
      <w:r>
        <w:rPr>
          <w:rFonts w:hint="eastAsia" w:ascii="宋体" w:hAnsi="宋体" w:cs="宋体"/>
          <w:color w:val="auto"/>
          <w:sz w:val="21"/>
          <w:szCs w:val="21"/>
        </w:rPr>
        <w:t>受</w:t>
      </w:r>
      <w:r>
        <w:rPr>
          <w:rFonts w:hint="eastAsia" w:ascii="宋体" w:hAnsi="宋体" w:cs="宋体"/>
          <w:color w:val="auto"/>
          <w:sz w:val="21"/>
          <w:szCs w:val="21"/>
          <w:u w:val="single"/>
        </w:rPr>
        <w:t>扬州大学附属医院</w:t>
      </w:r>
      <w:r>
        <w:rPr>
          <w:rFonts w:hint="eastAsia" w:ascii="宋体" w:hAnsi="宋体" w:cs="宋体"/>
          <w:color w:val="auto"/>
          <w:sz w:val="21"/>
          <w:szCs w:val="21"/>
        </w:rPr>
        <w:t>的委托，</w:t>
      </w:r>
      <w:r>
        <w:rPr>
          <w:rFonts w:hint="eastAsia" w:ascii="宋体" w:hAnsi="宋体" w:cs="宋体"/>
          <w:bCs/>
          <w:color w:val="auto"/>
          <w:sz w:val="21"/>
          <w:szCs w:val="21"/>
        </w:rPr>
        <w:t>就</w:t>
      </w:r>
      <w:r>
        <w:rPr>
          <w:rFonts w:hint="eastAsia" w:ascii="宋体" w:hAnsi="宋体" w:cs="宋体"/>
          <w:bCs/>
          <w:color w:val="auto"/>
          <w:sz w:val="21"/>
          <w:szCs w:val="21"/>
          <w:u w:val="single"/>
        </w:rPr>
        <w:t>扬州大学附属医院住院入口（服务大厅）扩建项目、门诊楼扩建项目、既有建筑改造项目、病房改造提升项目建议书及可行性研究报告编制项目</w:t>
      </w:r>
      <w:r>
        <w:rPr>
          <w:rFonts w:hint="eastAsia" w:ascii="宋体" w:hAnsi="宋体" w:cs="宋体"/>
          <w:color w:val="auto"/>
          <w:sz w:val="21"/>
          <w:szCs w:val="21"/>
        </w:rPr>
        <w:t>实施竞争性磋商采购，欢迎符合相关条件的供应商参加磋商。</w:t>
      </w:r>
    </w:p>
    <w:p w14:paraId="11A6AAED">
      <w:pPr>
        <w:spacing w:line="360" w:lineRule="auto"/>
        <w:ind w:firstLine="422" w:firstLineChars="200"/>
        <w:rPr>
          <w:rFonts w:ascii="宋体" w:hAnsi="宋体" w:cs="宋体"/>
          <w:b/>
          <w:color w:val="auto"/>
          <w:sz w:val="21"/>
          <w:szCs w:val="21"/>
        </w:rPr>
      </w:pPr>
      <w:r>
        <w:rPr>
          <w:rFonts w:hint="eastAsia" w:ascii="宋体" w:hAnsi="宋体" w:cs="宋体"/>
          <w:b/>
          <w:color w:val="auto"/>
          <w:sz w:val="21"/>
          <w:szCs w:val="21"/>
        </w:rPr>
        <w:t>一、</w:t>
      </w:r>
      <w:r>
        <w:rPr>
          <w:rFonts w:hint="eastAsia" w:ascii="宋体" w:hAnsi="宋体" w:cs="宋体"/>
          <w:b/>
          <w:bCs/>
          <w:color w:val="auto"/>
          <w:sz w:val="21"/>
          <w:szCs w:val="21"/>
        </w:rPr>
        <w:t>采购项目名称</w:t>
      </w:r>
      <w:r>
        <w:rPr>
          <w:rFonts w:hint="eastAsia" w:ascii="宋体" w:hAnsi="宋体" w:cs="宋体"/>
          <w:b/>
          <w:color w:val="auto"/>
          <w:sz w:val="21"/>
          <w:szCs w:val="21"/>
        </w:rPr>
        <w:t>及编号</w:t>
      </w:r>
    </w:p>
    <w:p w14:paraId="3E46A47A">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项目名称：扬州大学附属医院住院入口（服务大厅）扩建项目、门诊楼扩建项目、既有建筑改造项目、病房改造提升项目建议书及可行性研究报告编制项目</w:t>
      </w:r>
    </w:p>
    <w:p w14:paraId="39F1AA25">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项目编号：</w:t>
      </w:r>
      <w:r>
        <w:rPr>
          <w:rFonts w:hint="eastAsia" w:ascii="宋体" w:hAnsi="宋体" w:cs="宋体"/>
          <w:color w:val="auto"/>
          <w:sz w:val="21"/>
          <w:szCs w:val="21"/>
          <w:lang w:eastAsia="zh-CN"/>
        </w:rPr>
        <w:t>YDFYSW-20260701</w:t>
      </w:r>
      <w:r>
        <w:rPr>
          <w:rFonts w:hint="eastAsia" w:ascii="宋体" w:hAnsi="宋体" w:cs="宋体"/>
          <w:color w:val="auto"/>
          <w:sz w:val="21"/>
          <w:szCs w:val="21"/>
        </w:rPr>
        <w:t>号</w:t>
      </w:r>
    </w:p>
    <w:p w14:paraId="59FF6940">
      <w:pPr>
        <w:tabs>
          <w:tab w:val="left" w:pos="900"/>
        </w:tabs>
        <w:spacing w:line="360" w:lineRule="auto"/>
        <w:ind w:firstLine="422" w:firstLineChars="200"/>
        <w:rPr>
          <w:rFonts w:ascii="宋体" w:hAnsi="宋体" w:cs="宋体"/>
          <w:color w:val="auto"/>
          <w:sz w:val="21"/>
          <w:szCs w:val="21"/>
        </w:rPr>
      </w:pPr>
      <w:r>
        <w:rPr>
          <w:rFonts w:hint="eastAsia" w:ascii="宋体" w:hAnsi="宋体" w:cs="宋体"/>
          <w:b/>
          <w:bCs/>
          <w:color w:val="auto"/>
          <w:sz w:val="21"/>
          <w:szCs w:val="21"/>
        </w:rPr>
        <w:t>二、采购项目简要说明及预算金额</w:t>
      </w:r>
    </w:p>
    <w:p w14:paraId="79AB5940">
      <w:pPr>
        <w:tabs>
          <w:tab w:val="left" w:pos="900"/>
        </w:tabs>
        <w:spacing w:line="360" w:lineRule="auto"/>
        <w:ind w:firstLine="420" w:firstLineChars="200"/>
        <w:rPr>
          <w:rFonts w:ascii="宋体" w:hAnsi="宋体" w:cs="宋体"/>
          <w:color w:val="auto"/>
          <w:sz w:val="21"/>
          <w:szCs w:val="21"/>
        </w:rPr>
      </w:pPr>
      <w:r>
        <w:rPr>
          <w:rFonts w:hint="eastAsia" w:ascii="宋体" w:hAnsi="宋体" w:cs="宋体"/>
          <w:bCs/>
          <w:color w:val="auto"/>
          <w:sz w:val="21"/>
          <w:szCs w:val="21"/>
        </w:rPr>
        <w:t>项目简要说明：扬州大学附属医院住院入口（服务大厅）扩建项目、门诊楼扩建项目、既有建筑改造项目、病房改造提升项目建议书及可行性研究报告编制，具体详见本磋商文件第四章。</w:t>
      </w:r>
    </w:p>
    <w:p w14:paraId="598006AC">
      <w:pPr>
        <w:tabs>
          <w:tab w:val="left" w:pos="900"/>
        </w:tabs>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预算金额：38万元</w:t>
      </w:r>
    </w:p>
    <w:p w14:paraId="5AE3D6FD">
      <w:pPr>
        <w:tabs>
          <w:tab w:val="left" w:pos="900"/>
        </w:tabs>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本项目设定最高限价，最高限价为38万元，</w:t>
      </w:r>
      <w:r>
        <w:rPr>
          <w:rFonts w:hint="eastAsia" w:ascii="宋体" w:hAnsi="宋体" w:cs="宋体"/>
          <w:i/>
          <w:iCs/>
          <w:color w:val="auto"/>
          <w:sz w:val="21"/>
          <w:szCs w:val="21"/>
          <w:u w:val="single"/>
        </w:rPr>
        <w:t>响应报价超过最高限价的为无效报价，按照无效响应处理</w:t>
      </w:r>
      <w:r>
        <w:rPr>
          <w:rFonts w:hint="eastAsia" w:ascii="宋体" w:hAnsi="宋体" w:cs="宋体"/>
          <w:color w:val="auto"/>
          <w:sz w:val="21"/>
          <w:szCs w:val="21"/>
        </w:rPr>
        <w:t>。</w:t>
      </w:r>
    </w:p>
    <w:p w14:paraId="18B1D10F">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合同履行期限：合同生效后供应商即刻启动资料搜集与前期筹备，收到采购人开工指令后10个日历天内完成全部项目建议书编制，15个日历天内完成可行性研究报告编制；全程配合采购人、江苏省公建中心、省教育厅、省发改委开展评审答疑、文稿修改、项目上报工作，直至取得官方正式立项批复。供应商须根据时限要求细化分项工作计划，按需配置人力，保障各节点按期落地。</w:t>
      </w:r>
    </w:p>
    <w:p w14:paraId="21A845E3">
      <w:pPr>
        <w:pStyle w:val="99"/>
        <w:adjustRightInd/>
        <w:spacing w:line="360" w:lineRule="auto"/>
        <w:ind w:firstLine="420" w:firstLineChars="200"/>
        <w:rPr>
          <w:rFonts w:hAnsi="宋体"/>
          <w:color w:val="auto"/>
          <w:sz w:val="21"/>
          <w:szCs w:val="21"/>
        </w:rPr>
      </w:pPr>
      <w:r>
        <w:rPr>
          <w:rFonts w:hint="eastAsia" w:hAnsi="宋体"/>
          <w:color w:val="auto"/>
          <w:sz w:val="21"/>
          <w:szCs w:val="21"/>
        </w:rPr>
        <w:t>本项目</w:t>
      </w:r>
      <w:r>
        <w:rPr>
          <w:rFonts w:hint="eastAsia" w:hAnsi="宋体"/>
          <w:color w:val="auto"/>
          <w:sz w:val="21"/>
          <w:szCs w:val="21"/>
          <w:u w:val="single"/>
        </w:rPr>
        <w:t>不接受</w:t>
      </w:r>
      <w:r>
        <w:rPr>
          <w:rFonts w:hint="eastAsia" w:hAnsi="宋体"/>
          <w:color w:val="auto"/>
          <w:sz w:val="21"/>
          <w:szCs w:val="21"/>
        </w:rPr>
        <w:t>联合体参与磋商。</w:t>
      </w:r>
    </w:p>
    <w:p w14:paraId="7CED7C9D">
      <w:pPr>
        <w:numPr>
          <w:ilvl w:val="0"/>
          <w:numId w:val="3"/>
        </w:numPr>
        <w:tabs>
          <w:tab w:val="left" w:pos="900"/>
        </w:tabs>
        <w:spacing w:line="360" w:lineRule="auto"/>
        <w:ind w:firstLine="422" w:firstLineChars="200"/>
        <w:rPr>
          <w:rFonts w:ascii="宋体" w:hAnsi="宋体" w:cs="宋体"/>
          <w:color w:val="auto"/>
          <w:sz w:val="21"/>
          <w:szCs w:val="21"/>
        </w:rPr>
      </w:pPr>
      <w:r>
        <w:rPr>
          <w:rFonts w:hint="eastAsia" w:ascii="宋体" w:hAnsi="宋体" w:cs="宋体"/>
          <w:b/>
          <w:bCs/>
          <w:color w:val="auto"/>
          <w:sz w:val="21"/>
          <w:szCs w:val="21"/>
        </w:rPr>
        <w:t>申请人的资格要求</w:t>
      </w:r>
    </w:p>
    <w:p w14:paraId="52CF1BFB">
      <w:pPr>
        <w:spacing w:line="360" w:lineRule="auto"/>
        <w:ind w:firstLine="420" w:firstLineChars="200"/>
        <w:rPr>
          <w:rFonts w:ascii="宋体" w:hAnsi="宋体" w:cs="宋体"/>
          <w:color w:val="auto"/>
          <w:szCs w:val="21"/>
        </w:rPr>
      </w:pPr>
      <w:r>
        <w:rPr>
          <w:rFonts w:hint="eastAsia" w:ascii="宋体" w:hAnsi="宋体" w:cs="宋体"/>
          <w:color w:val="auto"/>
          <w:szCs w:val="21"/>
        </w:rPr>
        <w:t>（一）通用资格要求</w:t>
      </w:r>
    </w:p>
    <w:p w14:paraId="0EEA5659">
      <w:pPr>
        <w:spacing w:line="360" w:lineRule="auto"/>
        <w:ind w:firstLine="420" w:firstLineChars="200"/>
        <w:rPr>
          <w:rFonts w:ascii="宋体" w:hAnsi="宋体" w:cs="宋体"/>
          <w:color w:val="auto"/>
          <w:szCs w:val="21"/>
        </w:rPr>
      </w:pPr>
      <w:r>
        <w:rPr>
          <w:rFonts w:hint="eastAsia" w:ascii="宋体" w:hAnsi="宋体" w:cs="宋体"/>
          <w:color w:val="auto"/>
          <w:szCs w:val="21"/>
        </w:rPr>
        <w:t>1.满足《中华人民共和国政府采购法》第二十二条规定，并提供下列材料：</w:t>
      </w:r>
    </w:p>
    <w:p w14:paraId="08EA561E">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1.1 法人或者其他组织的营业执照等证明文件，自然人的身份证明（身份证为正、反面）；</w:t>
      </w:r>
    </w:p>
    <w:p w14:paraId="275E7F9C">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1.2若法定代表人参加磋商的，须提供本人身份证复印件（原件备查）；若授权代表参加的，须提供《法人授权书》原件和授权代表身份证复印件（原件备查）；</w:t>
      </w:r>
    </w:p>
    <w:p w14:paraId="70912CE8">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1.3 上一年度的财务状况报告（成立不满一年无需提供）；</w:t>
      </w:r>
    </w:p>
    <w:p w14:paraId="7BFABCD0">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1.4依法缴纳税收和社会保障资金的相关材料（提供提交响应文件截止时间前一年内至少一个月依法缴纳税收及缴纳社会保障资金的证明材料。供应商依法享受缓缴、免缴税收、社会保障资金的提供相应证明材料。）；</w:t>
      </w:r>
    </w:p>
    <w:p w14:paraId="4C698249">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1.5具备履行合同所必需的设备和专业技术能力的书面声明；（原件加盖供应商公章）</w:t>
      </w:r>
    </w:p>
    <w:p w14:paraId="7A3F96A9">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1.6参加政府采购活动前3年内在经营活动中没有重大违法记录的书面声明；（原件加盖供应商公章）</w:t>
      </w:r>
    </w:p>
    <w:p w14:paraId="53329585">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1.7供应商信用承诺书。（原件加盖供应商公章）</w:t>
      </w:r>
    </w:p>
    <w:p w14:paraId="69A9C696">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1.8未被“信用中国”网站（www.creditchina.gov.cn）、“中国政府采购网”</w:t>
      </w:r>
      <w:r>
        <w:rPr>
          <w:rFonts w:hint="eastAsia" w:ascii="宋体" w:hAnsi="宋体" w:cs="宋体"/>
          <w:i/>
          <w:iCs/>
          <w:color w:val="auto"/>
          <w:szCs w:val="21"/>
          <w:u w:val="single"/>
          <w:lang w:eastAsia="zh-CN"/>
        </w:rPr>
        <w:t>（</w:t>
      </w:r>
      <w:r>
        <w:rPr>
          <w:rFonts w:hint="eastAsia" w:ascii="宋体" w:hAnsi="宋体" w:cs="宋体"/>
          <w:i/>
          <w:iCs/>
          <w:color w:val="auto"/>
          <w:szCs w:val="21"/>
          <w:u w:val="single"/>
        </w:rPr>
        <w:t>www.ccgp.gov.cn）列入失信被执行人、重大税收违法案件当事人名单、政府采购严重违法失信行为记录名单（响应文件中无需提供证明材料）。</w:t>
      </w:r>
    </w:p>
    <w:p w14:paraId="7C745900">
      <w:pPr>
        <w:pStyle w:val="99"/>
        <w:adjustRightInd/>
        <w:spacing w:line="360" w:lineRule="auto"/>
        <w:ind w:firstLine="480" w:firstLineChars="200"/>
        <w:rPr>
          <w:rFonts w:hAnsi="宋体"/>
          <w:i/>
          <w:iCs/>
          <w:color w:val="auto"/>
          <w:sz w:val="21"/>
          <w:szCs w:val="21"/>
          <w:u w:val="single"/>
        </w:rPr>
      </w:pPr>
      <w:r>
        <w:rPr>
          <w:rFonts w:hint="eastAsia" w:hAnsi="宋体"/>
          <w:color w:val="auto"/>
          <w:szCs w:val="21"/>
        </w:rPr>
        <w:t>（二）</w:t>
      </w:r>
      <w:r>
        <w:rPr>
          <w:rFonts w:hint="eastAsia" w:hAnsi="宋体"/>
          <w:color w:val="auto"/>
          <w:sz w:val="21"/>
          <w:szCs w:val="21"/>
        </w:rPr>
        <w:t>本项目的特定资格要求：</w:t>
      </w:r>
      <w:r>
        <w:rPr>
          <w:rFonts w:hint="eastAsia" w:hAnsi="宋体"/>
          <w:i/>
          <w:iCs/>
          <w:color w:val="auto"/>
          <w:sz w:val="21"/>
          <w:szCs w:val="21"/>
          <w:u w:val="single"/>
        </w:rPr>
        <w:t>供应商通过“全国投资项目在线审批监管平台”备案。（提供有效网页查询截图复印件加盖供应商公章）（全国投资项目在线审批监管平台网址：https://new.tzxm.gov.cn</w:t>
      </w:r>
      <w:r>
        <w:rPr>
          <w:rFonts w:hint="eastAsia" w:hAnsi="宋体"/>
          <w:i/>
          <w:iCs/>
          <w:color w:val="auto"/>
          <w:sz w:val="21"/>
          <w:szCs w:val="21"/>
          <w:u w:val="single"/>
          <w:lang w:eastAsia="zh-CN"/>
        </w:rPr>
        <w:t>/</w:t>
      </w:r>
      <w:r>
        <w:rPr>
          <w:rFonts w:hint="eastAsia" w:hAnsi="宋体"/>
          <w:i/>
          <w:iCs/>
          <w:color w:val="auto"/>
          <w:sz w:val="21"/>
          <w:szCs w:val="21"/>
          <w:u w:val="single"/>
        </w:rPr>
        <w:t>提供查询截图时间为采购公告发布之日起至响应文件接收截止时间）</w:t>
      </w:r>
    </w:p>
    <w:p w14:paraId="3578DF72">
      <w:pPr>
        <w:spacing w:line="360" w:lineRule="auto"/>
        <w:ind w:firstLine="420" w:firstLineChars="200"/>
        <w:rPr>
          <w:rFonts w:ascii="宋体" w:hAnsi="宋体" w:cs="宋体"/>
          <w:color w:val="auto"/>
          <w:szCs w:val="21"/>
        </w:rPr>
      </w:pPr>
      <w:r>
        <w:rPr>
          <w:rFonts w:hint="eastAsia" w:ascii="宋体" w:hAnsi="宋体" w:cs="宋体"/>
          <w:color w:val="auto"/>
          <w:szCs w:val="21"/>
        </w:rPr>
        <w:t>（三）拒绝下述供应商参加本次采购活动：</w:t>
      </w:r>
    </w:p>
    <w:p w14:paraId="089B584E">
      <w:pPr>
        <w:spacing w:line="360" w:lineRule="auto"/>
        <w:ind w:firstLine="420" w:firstLineChars="200"/>
        <w:rPr>
          <w:rFonts w:ascii="宋体" w:hAnsi="宋体" w:cs="宋体"/>
          <w:color w:val="auto"/>
          <w:szCs w:val="21"/>
        </w:rPr>
      </w:pPr>
      <w:r>
        <w:rPr>
          <w:rFonts w:hint="eastAsia" w:ascii="宋体" w:hAnsi="宋体" w:cs="宋体"/>
          <w:color w:val="auto"/>
          <w:szCs w:val="21"/>
        </w:rPr>
        <w:t>3.1单位负责人为同一人或者存在直接控股、管理关系的不同供应商，不得参加同一合同项下的政府采购活动；</w:t>
      </w:r>
    </w:p>
    <w:p w14:paraId="5A13D460">
      <w:pPr>
        <w:spacing w:line="360" w:lineRule="auto"/>
        <w:ind w:firstLine="420" w:firstLineChars="200"/>
        <w:rPr>
          <w:rFonts w:ascii="宋体" w:hAnsi="宋体" w:cs="宋体"/>
          <w:color w:val="auto"/>
          <w:szCs w:val="21"/>
        </w:rPr>
      </w:pPr>
      <w:r>
        <w:rPr>
          <w:rFonts w:hint="eastAsia" w:ascii="宋体" w:hAnsi="宋体" w:cs="宋体"/>
          <w:color w:val="auto"/>
          <w:szCs w:val="21"/>
        </w:rPr>
        <w:t>3.2除单一来源采购项目外，为采购项目提供整体设计、规范编制或者项目管理、监理、检测等服务的供应商，不得再参加该采购项目的其他采购活动。</w:t>
      </w:r>
    </w:p>
    <w:p w14:paraId="35C1D66F">
      <w:pPr>
        <w:spacing w:line="360" w:lineRule="auto"/>
        <w:ind w:firstLine="422" w:firstLineChars="200"/>
        <w:rPr>
          <w:rFonts w:ascii="宋体" w:hAnsi="宋体" w:cs="宋体"/>
          <w:color w:val="auto"/>
          <w:szCs w:val="21"/>
        </w:rPr>
      </w:pPr>
      <w:r>
        <w:rPr>
          <w:rFonts w:hint="eastAsia" w:ascii="宋体" w:hAnsi="宋体" w:cs="宋体"/>
          <w:b/>
          <w:bCs/>
          <w:color w:val="auto"/>
          <w:szCs w:val="21"/>
        </w:rPr>
        <w:t>四、获取采购文件</w:t>
      </w:r>
    </w:p>
    <w:p w14:paraId="4D881277">
      <w:pPr>
        <w:tabs>
          <w:tab w:val="left" w:pos="90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lang w:eastAsia="zh-CN"/>
        </w:rPr>
        <w:t>日起至2026年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16</w:t>
      </w:r>
      <w:r>
        <w:rPr>
          <w:rFonts w:hint="eastAsia" w:ascii="宋体" w:hAnsi="宋体" w:cs="宋体"/>
          <w:color w:val="auto"/>
          <w:szCs w:val="21"/>
          <w:highlight w:val="none"/>
          <w:u w:val="single"/>
        </w:rPr>
        <w:t>日</w:t>
      </w:r>
      <w:r>
        <w:rPr>
          <w:rFonts w:hint="eastAsia" w:ascii="宋体" w:hAnsi="宋体" w:cs="宋体"/>
          <w:color w:val="auto"/>
          <w:szCs w:val="21"/>
          <w:highlight w:val="none"/>
        </w:rPr>
        <w:t>（北京时间上午9:30-11:30，下午2:30-5:30，法定节假日除外）</w:t>
      </w:r>
    </w:p>
    <w:p w14:paraId="4C095FEF">
      <w:pPr>
        <w:tabs>
          <w:tab w:val="left" w:pos="900"/>
        </w:tabs>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lang w:eastAsia="zh-CN"/>
        </w:rPr>
        <w:t>采购文件</w:t>
      </w:r>
      <w:r>
        <w:rPr>
          <w:rFonts w:hint="eastAsia" w:ascii="宋体" w:hAnsi="宋体" w:cs="宋体"/>
          <w:bCs/>
          <w:color w:val="auto"/>
          <w:szCs w:val="21"/>
          <w:highlight w:val="none"/>
        </w:rPr>
        <w:t>在</w:t>
      </w:r>
      <w:r>
        <w:rPr>
          <w:rFonts w:hint="eastAsia" w:ascii="宋体" w:hAnsi="宋体" w:cs="宋体"/>
          <w:color w:val="auto"/>
          <w:szCs w:val="21"/>
          <w:highlight w:val="none"/>
        </w:rPr>
        <w:t>“扬州大学附属医院”“扬州大学网”</w:t>
      </w:r>
      <w:r>
        <w:rPr>
          <w:rFonts w:hint="eastAsia" w:ascii="宋体" w:hAnsi="宋体" w:cs="宋体"/>
          <w:color w:val="auto"/>
          <w:szCs w:val="21"/>
          <w:highlight w:val="none"/>
          <w:lang w:val="en-US" w:eastAsia="zh-CN"/>
        </w:rPr>
        <w:t>和</w:t>
      </w:r>
      <w:r>
        <w:rPr>
          <w:rFonts w:hint="eastAsia" w:ascii="宋体" w:hAnsi="宋体" w:cs="宋体"/>
          <w:color w:val="auto"/>
          <w:szCs w:val="21"/>
          <w:highlight w:val="none"/>
        </w:rPr>
        <w:t>“江苏招标采购服务平台”</w:t>
      </w:r>
      <w:r>
        <w:rPr>
          <w:rFonts w:hint="eastAsia" w:ascii="宋体" w:hAnsi="宋体" w:cs="宋体"/>
          <w:bCs/>
          <w:color w:val="auto"/>
          <w:szCs w:val="21"/>
          <w:highlight w:val="none"/>
        </w:rPr>
        <w:t>上</w:t>
      </w:r>
      <w:r>
        <w:rPr>
          <w:rFonts w:hint="eastAsia" w:ascii="宋体" w:hAnsi="宋体" w:cs="宋体"/>
          <w:bCs/>
          <w:color w:val="auto"/>
          <w:szCs w:val="21"/>
          <w:highlight w:val="none"/>
          <w:lang w:val="en-US" w:eastAsia="zh-CN"/>
        </w:rPr>
        <w:t>自行</w:t>
      </w:r>
      <w:r>
        <w:rPr>
          <w:rFonts w:hint="eastAsia" w:ascii="宋体" w:hAnsi="宋体" w:cs="宋体"/>
          <w:bCs/>
          <w:color w:val="auto"/>
          <w:szCs w:val="21"/>
          <w:highlight w:val="none"/>
        </w:rPr>
        <w:t>下载，</w:t>
      </w:r>
      <w:r>
        <w:rPr>
          <w:rFonts w:hint="eastAsia" w:ascii="宋体" w:hAnsi="宋体" w:cs="宋体"/>
          <w:bCs/>
          <w:color w:val="auto"/>
          <w:szCs w:val="21"/>
          <w:highlight w:val="none"/>
          <w:lang w:val="en-US" w:eastAsia="zh-CN"/>
        </w:rPr>
        <w:t>供应商</w:t>
      </w:r>
      <w:r>
        <w:rPr>
          <w:rFonts w:hint="eastAsia" w:ascii="宋体" w:hAnsi="宋体" w:cs="宋体"/>
          <w:bCs/>
          <w:color w:val="auto"/>
          <w:szCs w:val="21"/>
          <w:highlight w:val="none"/>
        </w:rPr>
        <w:t>如确定参加</w:t>
      </w:r>
      <w:r>
        <w:rPr>
          <w:rFonts w:hint="eastAsia" w:ascii="宋体" w:hAnsi="宋体" w:cs="宋体"/>
          <w:bCs/>
          <w:color w:val="auto"/>
          <w:szCs w:val="21"/>
          <w:highlight w:val="none"/>
          <w:lang w:val="en-US" w:eastAsia="zh-CN"/>
        </w:rPr>
        <w:t>磋商</w:t>
      </w:r>
      <w:r>
        <w:rPr>
          <w:rFonts w:hint="eastAsia" w:ascii="宋体" w:hAnsi="宋体" w:cs="宋体"/>
          <w:bCs/>
          <w:color w:val="auto"/>
          <w:szCs w:val="21"/>
          <w:highlight w:val="none"/>
        </w:rPr>
        <w:t>，请如实填写《供应商参加</w:t>
      </w:r>
      <w:r>
        <w:rPr>
          <w:rFonts w:hint="eastAsia" w:ascii="宋体" w:hAnsi="宋体" w:cs="宋体"/>
          <w:bCs/>
          <w:color w:val="auto"/>
          <w:szCs w:val="21"/>
          <w:highlight w:val="none"/>
          <w:lang w:val="en-US" w:eastAsia="zh-CN"/>
        </w:rPr>
        <w:t>磋商</w:t>
      </w:r>
      <w:r>
        <w:rPr>
          <w:rFonts w:hint="eastAsia" w:ascii="宋体" w:hAnsi="宋体" w:cs="宋体"/>
          <w:bCs/>
          <w:color w:val="auto"/>
          <w:szCs w:val="21"/>
          <w:highlight w:val="none"/>
        </w:rPr>
        <w:t>确认函》，填写打印后加盖公章，拍照或扫描发送至邮箱（电子邮箱：376671107@qq.com，邮件标题备注企业全称+项目简称，联系电话：0514-82129116）。如</w:t>
      </w:r>
      <w:r>
        <w:rPr>
          <w:rFonts w:hint="eastAsia" w:ascii="宋体" w:hAnsi="宋体" w:cs="宋体"/>
          <w:bCs/>
          <w:color w:val="auto"/>
          <w:szCs w:val="21"/>
          <w:highlight w:val="none"/>
          <w:lang w:val="en-US" w:eastAsia="zh-CN"/>
        </w:rPr>
        <w:t>供应商</w:t>
      </w:r>
      <w:r>
        <w:rPr>
          <w:rFonts w:hint="eastAsia" w:ascii="宋体" w:hAnsi="宋体" w:cs="宋体"/>
          <w:bCs/>
          <w:color w:val="auto"/>
          <w:szCs w:val="21"/>
          <w:highlight w:val="none"/>
        </w:rPr>
        <w:t>未按上述要求去做，将自行承担所产生的风险。《供应商参加</w:t>
      </w:r>
      <w:r>
        <w:rPr>
          <w:rFonts w:hint="eastAsia" w:ascii="宋体" w:hAnsi="宋体" w:cs="宋体"/>
          <w:bCs/>
          <w:color w:val="auto"/>
          <w:szCs w:val="21"/>
          <w:highlight w:val="none"/>
          <w:lang w:val="en-US" w:eastAsia="zh-CN"/>
        </w:rPr>
        <w:t>磋商</w:t>
      </w:r>
      <w:r>
        <w:rPr>
          <w:rFonts w:hint="eastAsia" w:ascii="宋体" w:hAnsi="宋体" w:cs="宋体"/>
          <w:bCs/>
          <w:color w:val="auto"/>
          <w:szCs w:val="21"/>
          <w:highlight w:val="none"/>
        </w:rPr>
        <w:t>确认函》格式详见“</w:t>
      </w:r>
      <w:r>
        <w:rPr>
          <w:rFonts w:hint="eastAsia" w:ascii="宋体" w:hAnsi="宋体" w:cs="宋体"/>
          <w:bCs/>
          <w:color w:val="auto"/>
          <w:szCs w:val="21"/>
          <w:highlight w:val="none"/>
          <w:lang w:eastAsia="zh-CN"/>
        </w:rPr>
        <w:t>采购文件</w:t>
      </w:r>
      <w:r>
        <w:rPr>
          <w:rFonts w:hint="eastAsia" w:ascii="宋体" w:hAnsi="宋体" w:cs="宋体"/>
          <w:bCs/>
          <w:color w:val="auto"/>
          <w:szCs w:val="21"/>
          <w:highlight w:val="none"/>
        </w:rPr>
        <w:t>第</w:t>
      </w:r>
      <w:r>
        <w:rPr>
          <w:rFonts w:hint="eastAsia" w:ascii="宋体" w:hAnsi="宋体" w:cs="宋体"/>
          <w:bCs/>
          <w:color w:val="auto"/>
          <w:szCs w:val="21"/>
          <w:highlight w:val="none"/>
          <w:lang w:val="en-US" w:eastAsia="zh-CN"/>
        </w:rPr>
        <w:t>六</w:t>
      </w:r>
      <w:r>
        <w:rPr>
          <w:rFonts w:hint="eastAsia" w:ascii="宋体" w:hAnsi="宋体" w:cs="宋体"/>
          <w:bCs/>
          <w:color w:val="auto"/>
          <w:szCs w:val="21"/>
          <w:highlight w:val="none"/>
        </w:rPr>
        <w:t>章投标文件格式”。本次采购文件报名费200元/份，递交</w:t>
      </w:r>
      <w:r>
        <w:rPr>
          <w:rFonts w:hint="eastAsia" w:ascii="宋体" w:hAnsi="宋体" w:cs="宋体"/>
          <w:bCs/>
          <w:color w:val="auto"/>
          <w:szCs w:val="21"/>
          <w:highlight w:val="none"/>
          <w:lang w:val="en-US" w:eastAsia="zh-CN"/>
        </w:rPr>
        <w:t>响应</w:t>
      </w:r>
      <w:r>
        <w:rPr>
          <w:rFonts w:hint="eastAsia" w:ascii="宋体" w:hAnsi="宋体" w:cs="宋体"/>
          <w:bCs/>
          <w:color w:val="auto"/>
          <w:szCs w:val="21"/>
          <w:highlight w:val="none"/>
        </w:rPr>
        <w:t>文件时缴纳，售后不退。</w:t>
      </w:r>
    </w:p>
    <w:p w14:paraId="0F9BA3AA">
      <w:pPr>
        <w:tabs>
          <w:tab w:val="left" w:pos="900"/>
        </w:tabs>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如供应商未按上述要求去做，将自行承担所产生的风险。上述材料不全或不符合要求者，报名不予受理。未报名（未购买磋商文件）者、超过时限者不得前来磋商。</w:t>
      </w:r>
    </w:p>
    <w:p w14:paraId="23CB9261">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五、磋商响应文件接收截止时间和地点</w:t>
      </w:r>
    </w:p>
    <w:p w14:paraId="55E160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（一）响应文件接收开始时间：2026年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上午9</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（北京时间）</w:t>
      </w:r>
    </w:p>
    <w:p w14:paraId="3C8202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（二）响应文件接收截止时间：2026年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上午9</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（北京时间），逾期送达将作无效响应处理。</w:t>
      </w:r>
    </w:p>
    <w:p w14:paraId="4DEC56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（三）响应文件接收地点：江苏苏维工程管理有限公司开标室（扬州市翠岗路48号）。</w:t>
      </w:r>
    </w:p>
    <w:p w14:paraId="76B7D5D4">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六、磋商响应文件开启信息</w:t>
      </w:r>
    </w:p>
    <w:p w14:paraId="3003D6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（一）响应文件开启时间：2026年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上午9</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（北京时间）</w:t>
      </w:r>
    </w:p>
    <w:p w14:paraId="5B4DB8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（二）响应文件开启地点：江苏苏维工程管理有限公司三楼评标五室（扬州市翠岗路48号）。</w:t>
      </w:r>
    </w:p>
    <w:p w14:paraId="713191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（三）磋商地点：江苏苏维工程管理有限公司三楼评标五室（扬州市翠岗路48号）。</w:t>
      </w:r>
    </w:p>
    <w:p w14:paraId="2426635B">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七、本次磋商响应文件制作份数要求</w:t>
      </w:r>
    </w:p>
    <w:p w14:paraId="052D4E5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响应文件份数：纸质版一式五份（壹份正本、肆份副本）、电子版壹份【一般应为U盘形式，含完整磋商响应文件的电子版（PDF格式盖章版），随纸质正本文件一并提交】。当电子版文件和纸质正本文件不一致时，以纸质正本文件为准。电子版文件用于辅助评标和存档，供应商需承担前述不一致造成的不利后果。每份响应文件须清</w:t>
      </w:r>
      <w:r>
        <w:rPr>
          <w:rFonts w:hint="eastAsia" w:ascii="宋体" w:hAnsi="宋体" w:cs="宋体"/>
          <w:color w:val="auto"/>
          <w:szCs w:val="21"/>
          <w:highlight w:val="none"/>
          <w:lang w:eastAsia="zh-CN"/>
        </w:rPr>
        <w:t>楚地</w:t>
      </w:r>
      <w:r>
        <w:rPr>
          <w:rFonts w:hint="eastAsia" w:ascii="宋体" w:hAnsi="宋体" w:cs="宋体"/>
          <w:color w:val="auto"/>
          <w:szCs w:val="21"/>
          <w:highlight w:val="none"/>
        </w:rPr>
        <w:t>标明“正本”或“副本”字样。一旦正本和副本不符，以正本为准。</w:t>
      </w:r>
    </w:p>
    <w:p w14:paraId="14DEBB08">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八、本次磋商保证金要求</w:t>
      </w:r>
    </w:p>
    <w:p w14:paraId="6D8A7E73">
      <w:pPr>
        <w:spacing w:line="360" w:lineRule="auto"/>
        <w:ind w:left="420" w:leftChars="200"/>
        <w:rPr>
          <w:rFonts w:ascii="宋体" w:hAnsi="宋体" w:cs="宋体"/>
          <w:b/>
          <w:bCs/>
          <w:color w:val="auto"/>
          <w:szCs w:val="21"/>
          <w:highlight w:val="none"/>
        </w:rPr>
      </w:pPr>
      <w:r>
        <w:rPr>
          <w:rFonts w:hint="eastAsia" w:ascii="宋体" w:hAnsi="宋体"/>
          <w:bCs/>
          <w:color w:val="auto"/>
          <w:szCs w:val="21"/>
          <w:highlight w:val="none"/>
        </w:rPr>
        <w:t>本次磋商不收取磋商保证金</w:t>
      </w:r>
    </w:p>
    <w:p w14:paraId="45CC7BF8">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九、其他说明事项：</w:t>
      </w:r>
    </w:p>
    <w:p w14:paraId="174C82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（一）集中考察或召开答疑会：供应商自行踏勘现场。</w:t>
      </w:r>
    </w:p>
    <w:p w14:paraId="74C31E3A">
      <w:pPr>
        <w:spacing w:line="360" w:lineRule="auto"/>
        <w:ind w:firstLine="420" w:firstLineChars="200"/>
        <w:rPr>
          <w:rFonts w:ascii="宋体" w:hAnsi="宋体" w:cs="宋体"/>
          <w:iCs/>
          <w:color w:val="auto"/>
          <w:szCs w:val="21"/>
          <w:highlight w:val="none"/>
        </w:rPr>
      </w:pPr>
      <w:r>
        <w:rPr>
          <w:rFonts w:hint="eastAsia" w:ascii="宋体" w:hAnsi="宋体" w:cs="宋体"/>
          <w:i/>
          <w:color w:val="auto"/>
          <w:szCs w:val="21"/>
          <w:highlight w:val="none"/>
          <w:u w:val="single"/>
        </w:rPr>
        <w:t>（二）本磋商文件中斜体下划线部分为实质性响应条件，为必须遵守的条件，如不满足将作无效响应文件处理。</w:t>
      </w:r>
    </w:p>
    <w:p w14:paraId="2D701E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（三）公告期限：自磋商公告在 “扬州大学附属医院”“扬州大学网”</w:t>
      </w:r>
      <w:r>
        <w:rPr>
          <w:rFonts w:hint="eastAsia" w:ascii="宋体" w:hAnsi="宋体" w:cs="宋体"/>
          <w:color w:val="auto"/>
          <w:szCs w:val="21"/>
          <w:highlight w:val="none"/>
          <w:lang w:val="en-US" w:eastAsia="zh-CN"/>
        </w:rPr>
        <w:t>和</w:t>
      </w:r>
      <w:r>
        <w:rPr>
          <w:rFonts w:hint="eastAsia" w:ascii="宋体" w:hAnsi="宋体" w:cs="宋体"/>
          <w:color w:val="auto"/>
          <w:szCs w:val="21"/>
          <w:highlight w:val="none"/>
        </w:rPr>
        <w:t>“江苏招标采购服务平台”网站发布之日起3个工作日。有关本次磋商的事项若存在变动或修改，敬请及时关注</w:t>
      </w:r>
      <w:r>
        <w:rPr>
          <w:rFonts w:hint="eastAsia" w:ascii="宋体" w:hAnsi="宋体" w:cs="宋体"/>
          <w:color w:val="auto"/>
          <w:szCs w:val="21"/>
          <w:highlight w:val="none"/>
          <w:lang w:eastAsia="zh-CN"/>
        </w:rPr>
        <w:t>“扬州大学附属医院”“扬州大学网”和“江苏招标采购服务平台”</w:t>
      </w:r>
      <w:r>
        <w:rPr>
          <w:rFonts w:hint="eastAsia" w:ascii="宋体" w:hAnsi="宋体" w:cs="宋体"/>
          <w:color w:val="auto"/>
          <w:szCs w:val="21"/>
          <w:highlight w:val="none"/>
        </w:rPr>
        <w:t>网站发布的信息或更正公告。</w:t>
      </w:r>
    </w:p>
    <w:p w14:paraId="41985D5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（四）为落实好政府采购履约资金扶持政策，中标/成交供应商可凭政府采购合同办理融资贷款，详见江苏政府采购网“政采贷”专栏。</w:t>
      </w:r>
    </w:p>
    <w:p w14:paraId="40D698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五）本项目严格执行政府采购关于支持节能产品、环境标志产品的相关政策规定。如本次采购的产品属于财政部、国家发展改革委、生态环境部、市场监管总局等部门发布的节能产品、环境标志产品品目清单政府强制采购范围的，供应商必须在投标/响应文件中提供所投产品的相关证书（由国家确定的认证机构出具的、处于有效期之内的节能产品、环境标志产品认证证书）。节能产品、环境标志产品品目清单以递交响应文件截止时已正式公布的最近一期信息为准，如属政府强制采购产品未提供认证证书的或认证证书提供不全的将视为未实质性响应采购要求。其他条件相同情况下，本项目优先采购节能产品、环境标志产品。</w:t>
      </w:r>
    </w:p>
    <w:p w14:paraId="3F91D942">
      <w:pPr>
        <w:spacing w:line="360" w:lineRule="auto"/>
        <w:ind w:firstLine="420" w:firstLineChars="200"/>
        <w:rPr>
          <w:rFonts w:ascii="宋体" w:hAnsi="宋体" w:cs="宋体"/>
          <w:b/>
          <w:bCs/>
          <w:color w:val="auto"/>
          <w:szCs w:val="21"/>
          <w:highlight w:val="none"/>
        </w:rPr>
      </w:pPr>
      <w:r>
        <w:rPr>
          <w:rFonts w:hint="eastAsia" w:ascii="宋体" w:hAnsi="宋体" w:cs="宋体"/>
          <w:color w:val="auto"/>
          <w:szCs w:val="21"/>
          <w:highlight w:val="none"/>
        </w:rPr>
        <w:t>（六）供应商对于所投产品的包装应按照“财办库〔2020〕123号《关于印发《商品包装政府采购需求标准（试行）》《快递包装政府采购需求标准（试行）》的通知》”执行。</w:t>
      </w:r>
    </w:p>
    <w:p w14:paraId="4AD0B071">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十、本次磋商采购联系事项</w:t>
      </w:r>
    </w:p>
    <w:p w14:paraId="4A15BC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（一）采购单位信息：</w:t>
      </w:r>
    </w:p>
    <w:p w14:paraId="6BA3E3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名称：扬州大学附属医院</w:t>
      </w:r>
    </w:p>
    <w:p w14:paraId="27D3A5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联系人：张老师</w:t>
      </w:r>
    </w:p>
    <w:p w14:paraId="001F699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电话：0514-82099552</w:t>
      </w:r>
    </w:p>
    <w:p w14:paraId="5476D3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地址：扬州市邗江中路368号</w:t>
      </w:r>
    </w:p>
    <w:p w14:paraId="7DBF1E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（二）采购代理机构信息：</w:t>
      </w:r>
    </w:p>
    <w:p w14:paraId="79ACD4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  称：江苏苏维工程管理有限公司</w:t>
      </w:r>
    </w:p>
    <w:p w14:paraId="29880C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　址：扬州市翠岗路48号</w:t>
      </w:r>
    </w:p>
    <w:p w14:paraId="61616A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联系人：陈秋萍</w:t>
      </w:r>
    </w:p>
    <w:p w14:paraId="4D36B9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　话：</w:t>
      </w:r>
      <w:bookmarkStart w:id="4" w:name="_Toc22962"/>
      <w:r>
        <w:rPr>
          <w:rFonts w:hint="eastAsia" w:ascii="宋体" w:hAnsi="宋体" w:cs="宋体"/>
          <w:color w:val="auto"/>
          <w:szCs w:val="21"/>
          <w:highlight w:val="none"/>
        </w:rPr>
        <w:t>0514-82129116</w:t>
      </w:r>
    </w:p>
    <w:p w14:paraId="3C2CCE06">
      <w:pPr>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highlight w:val="none"/>
        </w:rPr>
        <w:t>江苏苏维工程管理有限公司</w:t>
      </w:r>
    </w:p>
    <w:p w14:paraId="0DD2A4C2">
      <w:pPr>
        <w:spacing w:line="360" w:lineRule="auto"/>
        <w:ind w:firstLine="420" w:firstLineChars="200"/>
        <w:jc w:val="right"/>
        <w:rPr>
          <w:rFonts w:ascii="宋体" w:hAnsi="宋体" w:cs="宋体"/>
          <w:color w:val="auto"/>
          <w:szCs w:val="21"/>
          <w:highlight w:val="none"/>
        </w:rPr>
      </w:pPr>
      <w:r>
        <w:rPr>
          <w:rFonts w:hint="eastAsia" w:ascii="宋体" w:hAnsi="宋体" w:cs="宋体"/>
          <w:color w:val="auto"/>
          <w:szCs w:val="21"/>
          <w:highlight w:val="none"/>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日</w:t>
      </w:r>
    </w:p>
    <w:p w14:paraId="0803C133">
      <w:pPr>
        <w:pStyle w:val="2"/>
        <w:rPr>
          <w:color w:val="auto"/>
          <w:szCs w:val="36"/>
        </w:rPr>
      </w:pPr>
      <w:r>
        <w:rPr>
          <w:color w:val="auto"/>
        </w:rPr>
        <w:br w:type="page"/>
      </w:r>
      <w:bookmarkStart w:id="5" w:name="_Toc5214"/>
      <w:r>
        <w:rPr>
          <w:color w:val="auto"/>
        </w:rPr>
        <w:t xml:space="preserve">第二章 </w:t>
      </w:r>
      <w:r>
        <w:rPr>
          <w:rFonts w:hint="eastAsia"/>
          <w:color w:val="auto"/>
        </w:rPr>
        <w:t>磋商</w:t>
      </w:r>
      <w:r>
        <w:rPr>
          <w:color w:val="auto"/>
        </w:rPr>
        <w:t>须知</w:t>
      </w:r>
      <w:bookmarkEnd w:id="3"/>
      <w:bookmarkEnd w:id="4"/>
      <w:bookmarkEnd w:id="5"/>
    </w:p>
    <w:p w14:paraId="68A19852">
      <w:pPr>
        <w:spacing w:line="360" w:lineRule="auto"/>
        <w:jc w:val="center"/>
        <w:rPr>
          <w:b/>
          <w:bCs/>
          <w:color w:val="auto"/>
          <w:szCs w:val="21"/>
        </w:rPr>
      </w:pPr>
      <w:bookmarkStart w:id="6" w:name="_Toc513029204"/>
      <w:bookmarkStart w:id="7" w:name="_Toc20823276"/>
      <w:bookmarkStart w:id="8" w:name="_Toc458694821"/>
      <w:bookmarkStart w:id="9" w:name="_Toc16938520"/>
      <w:r>
        <w:rPr>
          <w:bCs/>
          <w:color w:val="auto"/>
          <w:szCs w:val="21"/>
        </w:rPr>
        <w:t>（参加竞争性磋商的供应商以下简称“磋商供应商”）</w:t>
      </w:r>
    </w:p>
    <w:bookmarkEnd w:id="6"/>
    <w:bookmarkEnd w:id="7"/>
    <w:bookmarkEnd w:id="8"/>
    <w:bookmarkEnd w:id="9"/>
    <w:p w14:paraId="2555126C">
      <w:pPr>
        <w:tabs>
          <w:tab w:val="left" w:pos="900"/>
        </w:tabs>
        <w:spacing w:line="360" w:lineRule="auto"/>
        <w:ind w:firstLine="422" w:firstLineChars="200"/>
        <w:rPr>
          <w:rFonts w:ascii="宋体" w:hAnsi="宋体" w:cs="宋体"/>
          <w:b/>
          <w:color w:val="auto"/>
          <w:szCs w:val="21"/>
        </w:rPr>
      </w:pPr>
      <w:bookmarkStart w:id="10" w:name="OLE_LINK69"/>
      <w:bookmarkEnd w:id="10"/>
      <w:r>
        <w:rPr>
          <w:rFonts w:hint="eastAsia" w:ascii="宋体" w:hAnsi="宋体" w:cs="宋体"/>
          <w:b/>
          <w:color w:val="auto"/>
          <w:szCs w:val="21"/>
        </w:rPr>
        <w:t>一、总则</w:t>
      </w:r>
    </w:p>
    <w:p w14:paraId="408DD1B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1.</w:t>
      </w:r>
      <w:r>
        <w:rPr>
          <w:rFonts w:hint="eastAsia" w:ascii="宋体" w:hAnsi="宋体" w:cs="宋体"/>
          <w:color w:val="auto"/>
          <w:szCs w:val="21"/>
        </w:rPr>
        <w:t>适用范围</w:t>
      </w:r>
    </w:p>
    <w:p w14:paraId="47A438F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1.1 本竞争性磋商文件（以下简称磋商文件）仅适</w:t>
      </w:r>
      <w:r>
        <w:rPr>
          <w:rFonts w:hint="eastAsia" w:ascii="宋体" w:hAnsi="宋体" w:cs="宋体"/>
          <w:color w:val="auto"/>
          <w:szCs w:val="21"/>
          <w:lang w:eastAsia="zh-CN"/>
        </w:rPr>
        <w:t>用于</w:t>
      </w:r>
      <w:r>
        <w:rPr>
          <w:rFonts w:hint="eastAsia" w:ascii="宋体" w:hAnsi="宋体" w:cs="宋体"/>
          <w:color w:val="auto"/>
          <w:szCs w:val="21"/>
        </w:rPr>
        <w:t>此项目。</w:t>
      </w:r>
    </w:p>
    <w:p w14:paraId="0ED7A35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2.</w:t>
      </w:r>
      <w:r>
        <w:rPr>
          <w:rFonts w:hint="eastAsia" w:ascii="宋体" w:hAnsi="宋体" w:cs="宋体"/>
          <w:color w:val="auto"/>
          <w:szCs w:val="21"/>
        </w:rPr>
        <w:t>项目采购方式</w:t>
      </w:r>
    </w:p>
    <w:p w14:paraId="43532C5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本次采购采取竞争性磋商的方式。</w:t>
      </w:r>
    </w:p>
    <w:p w14:paraId="2744F0D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3.</w:t>
      </w:r>
      <w:r>
        <w:rPr>
          <w:rFonts w:hint="eastAsia" w:ascii="宋体" w:hAnsi="宋体" w:cs="宋体"/>
          <w:color w:val="auto"/>
          <w:szCs w:val="21"/>
        </w:rPr>
        <w:t>合格的磋商供应商</w:t>
      </w:r>
    </w:p>
    <w:p w14:paraId="2072C87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3.1满足本磋商文件“竞争性磋商采购邀请”中合格磋商供应商资格要求的规定。</w:t>
      </w:r>
    </w:p>
    <w:p w14:paraId="41C360D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3.2 满足本磋商文件实质性要求和条件的规定。</w:t>
      </w:r>
    </w:p>
    <w:p w14:paraId="4FF2887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4.</w:t>
      </w:r>
      <w:r>
        <w:rPr>
          <w:rFonts w:hint="eastAsia" w:ascii="宋体" w:hAnsi="宋体" w:cs="宋体"/>
          <w:color w:val="auto"/>
          <w:szCs w:val="21"/>
        </w:rPr>
        <w:t>参加磋商费用</w:t>
      </w:r>
    </w:p>
    <w:p w14:paraId="7BA6E41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4.1参加磋商供应商应自行承担所有与参加磋商有关的费用。不论最终的成交结果如何，江苏苏维工程管理有限公司（以下简称代理机构）和采购人在任何情况下均无义务和责任承担这些费用。</w:t>
      </w:r>
    </w:p>
    <w:p w14:paraId="08C4A71F">
      <w:pPr>
        <w:spacing w:line="360" w:lineRule="auto"/>
        <w:ind w:firstLine="422" w:firstLineChars="200"/>
        <w:jc w:val="left"/>
        <w:rPr>
          <w:rFonts w:ascii="宋体" w:hAnsi="宋体" w:cs="宋体"/>
          <w:b/>
          <w:bCs/>
          <w:color w:val="auto"/>
          <w:szCs w:val="21"/>
        </w:rPr>
      </w:pPr>
      <w:r>
        <w:rPr>
          <w:rFonts w:hint="eastAsia" w:ascii="宋体" w:hAnsi="宋体" w:cs="宋体"/>
          <w:b/>
          <w:bCs/>
          <w:color w:val="auto"/>
          <w:szCs w:val="21"/>
        </w:rPr>
        <w:t>4.2 标书工本费200元，</w:t>
      </w:r>
      <w:r>
        <w:rPr>
          <w:rFonts w:hint="eastAsia" w:ascii="宋体" w:hAnsi="宋体" w:cs="宋体"/>
          <w:b/>
          <w:bCs/>
          <w:color w:val="auto"/>
          <w:szCs w:val="21"/>
          <w:lang w:val="en-US" w:eastAsia="zh-CN"/>
        </w:rPr>
        <w:t>递交响应文件时</w:t>
      </w:r>
      <w:r>
        <w:rPr>
          <w:rFonts w:hint="eastAsia" w:ascii="宋体" w:hAnsi="宋体" w:cs="宋体"/>
          <w:b/>
          <w:bCs/>
          <w:color w:val="auto"/>
          <w:szCs w:val="21"/>
        </w:rPr>
        <w:t>缴纳，售后不退。</w:t>
      </w:r>
    </w:p>
    <w:p w14:paraId="773A2D2C">
      <w:pPr>
        <w:spacing w:line="360" w:lineRule="auto"/>
        <w:ind w:firstLine="422" w:firstLineChars="200"/>
        <w:jc w:val="left"/>
        <w:rPr>
          <w:rFonts w:ascii="宋体" w:hAnsi="宋体" w:cs="宋体"/>
          <w:b/>
          <w:bCs/>
          <w:color w:val="auto"/>
          <w:szCs w:val="21"/>
        </w:rPr>
      </w:pPr>
      <w:r>
        <w:rPr>
          <w:rFonts w:hint="eastAsia" w:ascii="宋体" w:hAnsi="宋体" w:cs="宋体"/>
          <w:b/>
          <w:bCs/>
          <w:color w:val="auto"/>
          <w:szCs w:val="21"/>
        </w:rPr>
        <w:t>4.3本次采购由中标单位在领取中标通知书前一次性支付给招标代理机构代理服务费（具体计算方式详见下表）。</w:t>
      </w:r>
    </w:p>
    <w:tbl>
      <w:tblPr>
        <w:tblStyle w:val="30"/>
        <w:tblW w:w="9783" w:type="dxa"/>
        <w:jc w:val="center"/>
        <w:tblLayout w:type="autofit"/>
        <w:tblCellMar>
          <w:top w:w="0" w:type="dxa"/>
          <w:left w:w="0" w:type="dxa"/>
          <w:bottom w:w="0" w:type="dxa"/>
          <w:right w:w="0" w:type="dxa"/>
        </w:tblCellMar>
      </w:tblPr>
      <w:tblGrid>
        <w:gridCol w:w="2502"/>
        <w:gridCol w:w="2560"/>
        <w:gridCol w:w="1984"/>
        <w:gridCol w:w="2737"/>
      </w:tblGrid>
      <w:tr w14:paraId="034E36DD">
        <w:tblPrEx>
          <w:tblCellMar>
            <w:top w:w="0" w:type="dxa"/>
            <w:left w:w="0" w:type="dxa"/>
            <w:bottom w:w="0" w:type="dxa"/>
            <w:right w:w="0" w:type="dxa"/>
          </w:tblCellMar>
        </w:tblPrEx>
        <w:trPr>
          <w:trHeight w:val="0" w:hRule="atLeast"/>
          <w:tblHeader/>
          <w:jc w:val="center"/>
        </w:trPr>
        <w:tc>
          <w:tcPr>
            <w:tcW w:w="2502"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6AECFB">
            <w:pPr>
              <w:pStyle w:val="25"/>
              <w:adjustRightInd w:val="0"/>
              <w:snapToGrid w:val="0"/>
              <w:spacing w:before="0" w:beforeAutospacing="0" w:after="0" w:afterAutospacing="0" w:line="440" w:lineRule="exact"/>
              <w:jc w:val="center"/>
              <w:rPr>
                <w:rFonts w:hint="eastAsia"/>
                <w:b w:val="0"/>
                <w:bCs/>
                <w:color w:val="auto"/>
                <w:spacing w:val="40"/>
                <w:kern w:val="2"/>
              </w:rPr>
            </w:pPr>
            <w:r>
              <w:rPr>
                <w:rFonts w:hint="eastAsia"/>
                <w:b w:val="0"/>
                <w:bCs/>
                <w:color w:val="auto"/>
                <w:spacing w:val="40"/>
                <w:kern w:val="2"/>
              </w:rPr>
              <w:t>服务项目名称</w:t>
            </w:r>
          </w:p>
        </w:tc>
        <w:tc>
          <w:tcPr>
            <w:tcW w:w="25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E697AA">
            <w:pPr>
              <w:pStyle w:val="25"/>
              <w:adjustRightInd w:val="0"/>
              <w:snapToGrid w:val="0"/>
              <w:spacing w:before="0" w:beforeAutospacing="0" w:after="0" w:afterAutospacing="0" w:line="440" w:lineRule="exact"/>
              <w:jc w:val="center"/>
              <w:rPr>
                <w:rFonts w:hint="eastAsia"/>
                <w:b w:val="0"/>
                <w:bCs/>
                <w:color w:val="auto"/>
                <w:kern w:val="2"/>
              </w:rPr>
            </w:pPr>
            <w:r>
              <w:rPr>
                <w:rFonts w:hint="eastAsia"/>
                <w:b w:val="0"/>
                <w:bCs/>
                <w:color w:val="auto"/>
                <w:kern w:val="2"/>
              </w:rPr>
              <w:t>100万以下</w:t>
            </w:r>
          </w:p>
        </w:tc>
        <w:tc>
          <w:tcPr>
            <w:tcW w:w="19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1F6FD7">
            <w:pPr>
              <w:pStyle w:val="25"/>
              <w:adjustRightInd w:val="0"/>
              <w:snapToGrid w:val="0"/>
              <w:spacing w:before="0" w:beforeAutospacing="0" w:after="0" w:afterAutospacing="0" w:line="440" w:lineRule="exact"/>
              <w:jc w:val="center"/>
              <w:rPr>
                <w:rFonts w:hint="eastAsia"/>
                <w:b w:val="0"/>
                <w:bCs/>
                <w:color w:val="auto"/>
                <w:kern w:val="2"/>
              </w:rPr>
            </w:pPr>
            <w:r>
              <w:rPr>
                <w:rFonts w:hint="eastAsia"/>
                <w:b w:val="0"/>
                <w:bCs/>
                <w:color w:val="auto"/>
                <w:kern w:val="2"/>
              </w:rPr>
              <w:t>100万以上</w:t>
            </w:r>
          </w:p>
        </w:tc>
        <w:tc>
          <w:tcPr>
            <w:tcW w:w="27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B72517">
            <w:pPr>
              <w:pStyle w:val="25"/>
              <w:adjustRightInd w:val="0"/>
              <w:snapToGrid w:val="0"/>
              <w:spacing w:before="0" w:beforeAutospacing="0" w:after="0" w:afterAutospacing="0" w:line="440" w:lineRule="exact"/>
              <w:jc w:val="center"/>
              <w:rPr>
                <w:rFonts w:hint="eastAsia"/>
                <w:b w:val="0"/>
                <w:bCs/>
                <w:color w:val="auto"/>
                <w:kern w:val="2"/>
              </w:rPr>
            </w:pPr>
            <w:r>
              <w:rPr>
                <w:rFonts w:hint="eastAsia"/>
                <w:b w:val="0"/>
                <w:bCs/>
                <w:color w:val="auto"/>
                <w:kern w:val="2"/>
              </w:rPr>
              <w:t>代理服务费最高限价</w:t>
            </w:r>
          </w:p>
        </w:tc>
      </w:tr>
      <w:tr w14:paraId="091D6FD6">
        <w:tblPrEx>
          <w:tblCellMar>
            <w:top w:w="0" w:type="dxa"/>
            <w:left w:w="0" w:type="dxa"/>
            <w:bottom w:w="0" w:type="dxa"/>
            <w:right w:w="0" w:type="dxa"/>
          </w:tblCellMar>
        </w:tblPrEx>
        <w:trPr>
          <w:trHeight w:val="0" w:hRule="atLeast"/>
          <w:tblHeader/>
          <w:jc w:val="center"/>
        </w:trPr>
        <w:tc>
          <w:tcPr>
            <w:tcW w:w="2502"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C5DE30">
            <w:pPr>
              <w:widowControl/>
              <w:snapToGrid w:val="0"/>
              <w:spacing w:line="440" w:lineRule="exact"/>
              <w:jc w:val="center"/>
              <w:rPr>
                <w:b w:val="0"/>
                <w:bCs/>
                <w:color w:val="auto"/>
              </w:rPr>
            </w:pPr>
          </w:p>
        </w:tc>
        <w:tc>
          <w:tcPr>
            <w:tcW w:w="25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C155E0">
            <w:pPr>
              <w:pStyle w:val="25"/>
              <w:adjustRightInd w:val="0"/>
              <w:snapToGrid w:val="0"/>
              <w:spacing w:before="0" w:beforeAutospacing="0" w:after="0" w:afterAutospacing="0" w:line="440" w:lineRule="exact"/>
              <w:jc w:val="center"/>
              <w:rPr>
                <w:rFonts w:hint="eastAsia"/>
                <w:b w:val="0"/>
                <w:bCs/>
                <w:color w:val="auto"/>
                <w:kern w:val="2"/>
              </w:rPr>
            </w:pPr>
            <w:r>
              <w:rPr>
                <w:rFonts w:hint="eastAsia"/>
                <w:b w:val="0"/>
                <w:bCs/>
                <w:color w:val="auto"/>
                <w:kern w:val="2"/>
              </w:rPr>
              <w:t>（单位：元）</w:t>
            </w:r>
          </w:p>
        </w:tc>
        <w:tc>
          <w:tcPr>
            <w:tcW w:w="19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05E066">
            <w:pPr>
              <w:pStyle w:val="25"/>
              <w:adjustRightInd w:val="0"/>
              <w:snapToGrid w:val="0"/>
              <w:spacing w:before="0" w:beforeAutospacing="0" w:after="0" w:afterAutospacing="0" w:line="440" w:lineRule="exact"/>
              <w:jc w:val="center"/>
              <w:rPr>
                <w:rFonts w:hint="eastAsia"/>
                <w:b w:val="0"/>
                <w:bCs/>
                <w:color w:val="auto"/>
                <w:kern w:val="2"/>
              </w:rPr>
            </w:pPr>
            <w:r>
              <w:rPr>
                <w:rFonts w:hint="eastAsia"/>
                <w:b w:val="0"/>
                <w:bCs/>
                <w:color w:val="auto"/>
                <w:kern w:val="2"/>
              </w:rPr>
              <w:t>（折扣）</w:t>
            </w:r>
          </w:p>
        </w:tc>
        <w:tc>
          <w:tcPr>
            <w:tcW w:w="27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034058">
            <w:pPr>
              <w:pStyle w:val="25"/>
              <w:adjustRightInd w:val="0"/>
              <w:snapToGrid w:val="0"/>
              <w:spacing w:before="0" w:beforeAutospacing="0" w:after="0" w:afterAutospacing="0" w:line="440" w:lineRule="exact"/>
              <w:jc w:val="center"/>
              <w:rPr>
                <w:rFonts w:hint="eastAsia"/>
                <w:b w:val="0"/>
                <w:bCs/>
                <w:color w:val="auto"/>
                <w:kern w:val="2"/>
              </w:rPr>
            </w:pPr>
            <w:r>
              <w:rPr>
                <w:rFonts w:hint="eastAsia"/>
                <w:b w:val="0"/>
                <w:bCs/>
                <w:color w:val="auto"/>
                <w:kern w:val="2"/>
              </w:rPr>
              <w:t>（单位：元）</w:t>
            </w:r>
          </w:p>
        </w:tc>
      </w:tr>
      <w:tr w14:paraId="7D46F307">
        <w:tblPrEx>
          <w:tblCellMar>
            <w:top w:w="0" w:type="dxa"/>
            <w:left w:w="0" w:type="dxa"/>
            <w:bottom w:w="0" w:type="dxa"/>
            <w:right w:w="0" w:type="dxa"/>
          </w:tblCellMar>
        </w:tblPrEx>
        <w:trPr>
          <w:trHeight w:val="0" w:hRule="atLeast"/>
          <w:tblHeader/>
          <w:jc w:val="center"/>
        </w:trPr>
        <w:tc>
          <w:tcPr>
            <w:tcW w:w="250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6B414F">
            <w:pPr>
              <w:pStyle w:val="25"/>
              <w:adjustRightInd w:val="0"/>
              <w:snapToGrid w:val="0"/>
              <w:spacing w:before="0" w:beforeAutospacing="0" w:after="0" w:afterAutospacing="0" w:line="440" w:lineRule="exact"/>
              <w:jc w:val="center"/>
              <w:rPr>
                <w:rFonts w:hint="eastAsia"/>
                <w:b w:val="0"/>
                <w:bCs/>
                <w:color w:val="auto"/>
                <w:kern w:val="2"/>
              </w:rPr>
            </w:pPr>
            <w:r>
              <w:rPr>
                <w:rFonts w:hint="eastAsia"/>
                <w:b w:val="0"/>
                <w:bCs/>
                <w:color w:val="auto"/>
                <w:kern w:val="2"/>
              </w:rPr>
              <w:t>采购代理</w:t>
            </w:r>
          </w:p>
        </w:tc>
        <w:tc>
          <w:tcPr>
            <w:tcW w:w="25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CC5CC9">
            <w:pPr>
              <w:pStyle w:val="25"/>
              <w:adjustRightInd w:val="0"/>
              <w:snapToGrid w:val="0"/>
              <w:spacing w:before="0" w:beforeAutospacing="0" w:after="0" w:afterAutospacing="0" w:line="440" w:lineRule="exact"/>
              <w:jc w:val="center"/>
              <w:rPr>
                <w:rFonts w:hint="default" w:eastAsia="宋体"/>
                <w:b w:val="0"/>
                <w:bCs/>
                <w:color w:val="auto"/>
                <w:kern w:val="2"/>
                <w:lang w:val="en-US" w:eastAsia="zh-CN"/>
              </w:rPr>
            </w:pPr>
            <w:r>
              <w:rPr>
                <w:rFonts w:hint="eastAsia"/>
                <w:b w:val="0"/>
                <w:bCs/>
                <w:color w:val="auto"/>
                <w:kern w:val="2"/>
                <w:lang w:val="en-US" w:eastAsia="zh-CN"/>
              </w:rPr>
              <w:t>2000</w:t>
            </w:r>
          </w:p>
        </w:tc>
        <w:tc>
          <w:tcPr>
            <w:tcW w:w="19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C697BD">
            <w:pPr>
              <w:pStyle w:val="25"/>
              <w:adjustRightInd w:val="0"/>
              <w:snapToGrid w:val="0"/>
              <w:spacing w:before="0" w:beforeAutospacing="0" w:after="0" w:afterAutospacing="0" w:line="440" w:lineRule="exact"/>
              <w:jc w:val="center"/>
              <w:rPr>
                <w:rFonts w:hint="default" w:eastAsia="宋体"/>
                <w:b w:val="0"/>
                <w:bCs/>
                <w:color w:val="auto"/>
                <w:kern w:val="2"/>
                <w:lang w:val="en-US" w:eastAsia="zh-CN"/>
              </w:rPr>
            </w:pPr>
            <w:r>
              <w:rPr>
                <w:rFonts w:hint="eastAsia"/>
                <w:b w:val="0"/>
                <w:bCs/>
                <w:color w:val="auto"/>
                <w:kern w:val="2"/>
                <w:lang w:val="en-US" w:eastAsia="zh-CN"/>
              </w:rPr>
              <w:t>18%</w:t>
            </w:r>
          </w:p>
        </w:tc>
        <w:tc>
          <w:tcPr>
            <w:tcW w:w="27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54FC81">
            <w:pPr>
              <w:pStyle w:val="25"/>
              <w:adjustRightInd w:val="0"/>
              <w:snapToGrid w:val="0"/>
              <w:spacing w:before="0" w:beforeAutospacing="0" w:after="0" w:afterAutospacing="0" w:line="440" w:lineRule="exact"/>
              <w:jc w:val="center"/>
              <w:rPr>
                <w:rFonts w:hint="default" w:eastAsia="宋体"/>
                <w:b w:val="0"/>
                <w:bCs/>
                <w:color w:val="auto"/>
                <w:kern w:val="2"/>
                <w:lang w:val="en-US" w:eastAsia="zh-CN"/>
              </w:rPr>
            </w:pPr>
            <w:r>
              <w:rPr>
                <w:rFonts w:hint="eastAsia"/>
                <w:b w:val="0"/>
                <w:bCs/>
                <w:color w:val="auto"/>
                <w:kern w:val="2"/>
                <w:lang w:val="en-US" w:eastAsia="zh-CN"/>
              </w:rPr>
              <w:t>10000</w:t>
            </w:r>
          </w:p>
        </w:tc>
      </w:tr>
    </w:tbl>
    <w:p w14:paraId="390FA736">
      <w:pPr>
        <w:widowControl/>
        <w:spacing w:line="440" w:lineRule="exact"/>
        <w:ind w:right="-57" w:rightChars="-27" w:firstLine="174" w:firstLineChars="83"/>
        <w:jc w:val="center"/>
        <w:rPr>
          <w:rFonts w:hint="eastAsia" w:ascii="宋体" w:hAnsi="宋体" w:eastAsia="宋体" w:cs="宋体"/>
          <w:b w:val="0"/>
          <w:bCs w:val="0"/>
          <w:color w:val="auto"/>
          <w:szCs w:val="21"/>
        </w:rPr>
      </w:pPr>
      <w:r>
        <w:rPr>
          <w:rFonts w:hint="eastAsia" w:ascii="宋体" w:hAnsi="宋体" w:eastAsia="宋体" w:cs="宋体"/>
          <w:b w:val="0"/>
          <w:bCs w:val="0"/>
          <w:color w:val="auto"/>
          <w:szCs w:val="21"/>
        </w:rPr>
        <w:t>基准费率表</w:t>
      </w:r>
    </w:p>
    <w:tbl>
      <w:tblPr>
        <w:tblStyle w:val="30"/>
        <w:tblW w:w="9754" w:type="dxa"/>
        <w:jc w:val="center"/>
        <w:tblCellSpacing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0" w:type="dxa"/>
          <w:bottom w:w="0" w:type="dxa"/>
          <w:right w:w="0" w:type="dxa"/>
        </w:tblCellMar>
      </w:tblPr>
      <w:tblGrid>
        <w:gridCol w:w="5521"/>
        <w:gridCol w:w="1411"/>
        <w:gridCol w:w="1411"/>
        <w:gridCol w:w="1411"/>
      </w:tblGrid>
      <w:tr w14:paraId="3E1B11CF">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Header/>
          <w:tblCellSpacing w:w="0" w:type="dxa"/>
          <w:jc w:val="center"/>
        </w:trPr>
        <w:tc>
          <w:tcPr>
            <w:tcW w:w="0" w:type="auto"/>
            <w:tcBorders>
              <w:tl2br w:val="nil"/>
              <w:tr2bl w:val="nil"/>
            </w:tcBorders>
            <w:noWrap w:val="0"/>
            <w:vAlign w:val="center"/>
          </w:tcPr>
          <w:p w14:paraId="3553DE20">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中标（成交）金额（万元）</w:t>
            </w:r>
          </w:p>
        </w:tc>
        <w:tc>
          <w:tcPr>
            <w:tcW w:w="0" w:type="auto"/>
            <w:tcBorders>
              <w:tl2br w:val="nil"/>
              <w:tr2bl w:val="nil"/>
            </w:tcBorders>
            <w:noWrap w:val="0"/>
            <w:vAlign w:val="center"/>
          </w:tcPr>
          <w:p w14:paraId="5BBFC7EF">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货物</w:t>
            </w:r>
          </w:p>
        </w:tc>
        <w:tc>
          <w:tcPr>
            <w:tcW w:w="0" w:type="auto"/>
            <w:tcBorders>
              <w:tl2br w:val="nil"/>
              <w:tr2bl w:val="nil"/>
            </w:tcBorders>
            <w:noWrap w:val="0"/>
            <w:vAlign w:val="center"/>
          </w:tcPr>
          <w:p w14:paraId="5CB22F24">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服务</w:t>
            </w:r>
          </w:p>
        </w:tc>
        <w:tc>
          <w:tcPr>
            <w:tcW w:w="1411" w:type="dxa"/>
            <w:tcBorders>
              <w:tl2br w:val="nil"/>
              <w:tr2bl w:val="nil"/>
            </w:tcBorders>
            <w:noWrap w:val="0"/>
            <w:vAlign w:val="center"/>
          </w:tcPr>
          <w:p w14:paraId="1355E3D7">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工程</w:t>
            </w:r>
          </w:p>
        </w:tc>
      </w:tr>
      <w:tr w14:paraId="4D283EF3">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0" w:type="auto"/>
            <w:tcBorders>
              <w:tl2br w:val="nil"/>
              <w:tr2bl w:val="nil"/>
            </w:tcBorders>
            <w:noWrap w:val="0"/>
            <w:vAlign w:val="center"/>
          </w:tcPr>
          <w:p w14:paraId="45C7F11C">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100以下</w:t>
            </w:r>
          </w:p>
        </w:tc>
        <w:tc>
          <w:tcPr>
            <w:tcW w:w="0" w:type="auto"/>
            <w:tcBorders>
              <w:tl2br w:val="nil"/>
              <w:tr2bl w:val="nil"/>
            </w:tcBorders>
            <w:noWrap w:val="0"/>
            <w:vAlign w:val="center"/>
          </w:tcPr>
          <w:p w14:paraId="36921F13">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1.5％</w:t>
            </w:r>
          </w:p>
        </w:tc>
        <w:tc>
          <w:tcPr>
            <w:tcW w:w="0" w:type="auto"/>
            <w:tcBorders>
              <w:tl2br w:val="nil"/>
              <w:tr2bl w:val="nil"/>
            </w:tcBorders>
            <w:noWrap w:val="0"/>
            <w:vAlign w:val="center"/>
          </w:tcPr>
          <w:p w14:paraId="10068FD1">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1.5％</w:t>
            </w:r>
          </w:p>
        </w:tc>
        <w:tc>
          <w:tcPr>
            <w:tcW w:w="1411" w:type="dxa"/>
            <w:tcBorders>
              <w:tl2br w:val="nil"/>
              <w:tr2bl w:val="nil"/>
            </w:tcBorders>
            <w:noWrap w:val="0"/>
            <w:vAlign w:val="center"/>
          </w:tcPr>
          <w:p w14:paraId="11F7F4DD">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1.0％</w:t>
            </w:r>
          </w:p>
        </w:tc>
      </w:tr>
      <w:tr w14:paraId="33AE252E">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0" w:type="auto"/>
            <w:tcBorders>
              <w:tl2br w:val="nil"/>
              <w:tr2bl w:val="nil"/>
            </w:tcBorders>
            <w:noWrap w:val="0"/>
            <w:vAlign w:val="center"/>
          </w:tcPr>
          <w:p w14:paraId="6236A411">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100—500</w:t>
            </w:r>
          </w:p>
        </w:tc>
        <w:tc>
          <w:tcPr>
            <w:tcW w:w="0" w:type="auto"/>
            <w:tcBorders>
              <w:tl2br w:val="nil"/>
              <w:tr2bl w:val="nil"/>
            </w:tcBorders>
            <w:noWrap w:val="0"/>
            <w:vAlign w:val="center"/>
          </w:tcPr>
          <w:p w14:paraId="33B3E5F5">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1.1％</w:t>
            </w:r>
          </w:p>
        </w:tc>
        <w:tc>
          <w:tcPr>
            <w:tcW w:w="0" w:type="auto"/>
            <w:tcBorders>
              <w:tl2br w:val="nil"/>
              <w:tr2bl w:val="nil"/>
            </w:tcBorders>
            <w:noWrap w:val="0"/>
            <w:vAlign w:val="center"/>
          </w:tcPr>
          <w:p w14:paraId="4B59A1CD">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0.8％</w:t>
            </w:r>
          </w:p>
        </w:tc>
        <w:tc>
          <w:tcPr>
            <w:tcW w:w="1411" w:type="dxa"/>
            <w:tcBorders>
              <w:tl2br w:val="nil"/>
              <w:tr2bl w:val="nil"/>
            </w:tcBorders>
            <w:noWrap w:val="0"/>
            <w:vAlign w:val="center"/>
          </w:tcPr>
          <w:p w14:paraId="2F257868">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0.7％</w:t>
            </w:r>
          </w:p>
        </w:tc>
      </w:tr>
      <w:tr w14:paraId="39216D46">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0" w:type="auto"/>
            <w:tcBorders>
              <w:tl2br w:val="nil"/>
              <w:tr2bl w:val="nil"/>
            </w:tcBorders>
            <w:noWrap w:val="0"/>
            <w:vAlign w:val="center"/>
          </w:tcPr>
          <w:p w14:paraId="085C5909">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500—1000</w:t>
            </w:r>
          </w:p>
        </w:tc>
        <w:tc>
          <w:tcPr>
            <w:tcW w:w="0" w:type="auto"/>
            <w:tcBorders>
              <w:tl2br w:val="nil"/>
              <w:tr2bl w:val="nil"/>
            </w:tcBorders>
            <w:noWrap w:val="0"/>
            <w:vAlign w:val="center"/>
          </w:tcPr>
          <w:p w14:paraId="6B8635BD">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0.8％</w:t>
            </w:r>
          </w:p>
        </w:tc>
        <w:tc>
          <w:tcPr>
            <w:tcW w:w="0" w:type="auto"/>
            <w:tcBorders>
              <w:tl2br w:val="nil"/>
              <w:tr2bl w:val="nil"/>
            </w:tcBorders>
            <w:noWrap w:val="0"/>
            <w:vAlign w:val="center"/>
          </w:tcPr>
          <w:p w14:paraId="54C4DF72">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0.45％</w:t>
            </w:r>
          </w:p>
        </w:tc>
        <w:tc>
          <w:tcPr>
            <w:tcW w:w="1411" w:type="dxa"/>
            <w:tcBorders>
              <w:tl2br w:val="nil"/>
              <w:tr2bl w:val="nil"/>
            </w:tcBorders>
            <w:noWrap w:val="0"/>
            <w:vAlign w:val="center"/>
          </w:tcPr>
          <w:p w14:paraId="40E149A7">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0.55％</w:t>
            </w:r>
          </w:p>
        </w:tc>
      </w:tr>
      <w:tr w14:paraId="307B6C4F">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0" w:type="auto"/>
            <w:tcBorders>
              <w:tl2br w:val="nil"/>
              <w:tr2bl w:val="nil"/>
            </w:tcBorders>
            <w:noWrap w:val="0"/>
            <w:vAlign w:val="center"/>
          </w:tcPr>
          <w:p w14:paraId="7FE6C9BC">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1000—5000</w:t>
            </w:r>
          </w:p>
        </w:tc>
        <w:tc>
          <w:tcPr>
            <w:tcW w:w="0" w:type="auto"/>
            <w:tcBorders>
              <w:tl2br w:val="nil"/>
              <w:tr2bl w:val="nil"/>
            </w:tcBorders>
            <w:noWrap w:val="0"/>
            <w:vAlign w:val="center"/>
          </w:tcPr>
          <w:p w14:paraId="7225B82C">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0.5％</w:t>
            </w:r>
          </w:p>
        </w:tc>
        <w:tc>
          <w:tcPr>
            <w:tcW w:w="0" w:type="auto"/>
            <w:tcBorders>
              <w:tl2br w:val="nil"/>
              <w:tr2bl w:val="nil"/>
            </w:tcBorders>
            <w:noWrap w:val="0"/>
            <w:vAlign w:val="center"/>
          </w:tcPr>
          <w:p w14:paraId="487A2C6A">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0.25％</w:t>
            </w:r>
          </w:p>
        </w:tc>
        <w:tc>
          <w:tcPr>
            <w:tcW w:w="1411" w:type="dxa"/>
            <w:tcBorders>
              <w:tl2br w:val="nil"/>
              <w:tr2bl w:val="nil"/>
            </w:tcBorders>
            <w:noWrap w:val="0"/>
            <w:vAlign w:val="center"/>
          </w:tcPr>
          <w:p w14:paraId="03469026">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0.35％</w:t>
            </w:r>
          </w:p>
        </w:tc>
      </w:tr>
      <w:tr w14:paraId="478628EC">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5521" w:type="dxa"/>
            <w:tcBorders>
              <w:tl2br w:val="nil"/>
              <w:tr2bl w:val="nil"/>
            </w:tcBorders>
            <w:noWrap w:val="0"/>
            <w:vAlign w:val="center"/>
          </w:tcPr>
          <w:p w14:paraId="105AEE97">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5000—10000</w:t>
            </w:r>
          </w:p>
        </w:tc>
        <w:tc>
          <w:tcPr>
            <w:tcW w:w="1411" w:type="dxa"/>
            <w:tcBorders>
              <w:tl2br w:val="nil"/>
              <w:tr2bl w:val="nil"/>
            </w:tcBorders>
            <w:noWrap w:val="0"/>
            <w:vAlign w:val="center"/>
          </w:tcPr>
          <w:p w14:paraId="4D4181A6">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0.25％</w:t>
            </w:r>
          </w:p>
        </w:tc>
        <w:tc>
          <w:tcPr>
            <w:tcW w:w="1411" w:type="dxa"/>
            <w:tcBorders>
              <w:tl2br w:val="nil"/>
              <w:tr2bl w:val="nil"/>
            </w:tcBorders>
            <w:noWrap w:val="0"/>
            <w:vAlign w:val="center"/>
          </w:tcPr>
          <w:p w14:paraId="21F8D535">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0.1％</w:t>
            </w:r>
          </w:p>
        </w:tc>
        <w:tc>
          <w:tcPr>
            <w:tcW w:w="1411" w:type="dxa"/>
            <w:tcBorders>
              <w:tl2br w:val="nil"/>
              <w:tr2bl w:val="nil"/>
            </w:tcBorders>
            <w:noWrap w:val="0"/>
            <w:vAlign w:val="center"/>
          </w:tcPr>
          <w:p w14:paraId="02DC48A8">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rPr>
            </w:pPr>
            <w:r>
              <w:rPr>
                <w:rFonts w:hint="eastAsia" w:ascii="宋体" w:hAnsi="宋体" w:eastAsia="宋体" w:cs="宋体"/>
                <w:b w:val="0"/>
                <w:bCs/>
                <w:color w:val="auto"/>
                <w:spacing w:val="40"/>
                <w:kern w:val="2"/>
              </w:rPr>
              <w:t>0.2％</w:t>
            </w:r>
          </w:p>
        </w:tc>
      </w:tr>
    </w:tbl>
    <w:p w14:paraId="32C446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（1）代理服务费以人民币支付；</w:t>
      </w:r>
    </w:p>
    <w:p w14:paraId="73884E9C">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2</w:t>
      </w:r>
      <w:r>
        <w:rPr>
          <w:rFonts w:hint="eastAsia" w:ascii="宋体" w:hAnsi="宋体" w:cs="宋体"/>
          <w:color w:val="auto"/>
          <w:szCs w:val="21"/>
        </w:rPr>
        <w:t>）代理服务费一次性以电汇或转账等非现金形式支付。</w:t>
      </w:r>
    </w:p>
    <w:p w14:paraId="26753529">
      <w:pPr>
        <w:spacing w:line="360" w:lineRule="auto"/>
        <w:ind w:firstLine="420" w:firstLineChars="200"/>
        <w:rPr>
          <w:rFonts w:ascii="宋体" w:hAnsi="宋体" w:cs="宋体"/>
          <w:color w:val="auto"/>
          <w:szCs w:val="21"/>
        </w:rPr>
      </w:pPr>
      <w:r>
        <w:rPr>
          <w:rFonts w:hint="eastAsia" w:ascii="宋体" w:hAnsi="宋体" w:cs="宋体"/>
          <w:color w:val="auto"/>
          <w:szCs w:val="21"/>
        </w:rPr>
        <w:t>代理服务费开户银行：中国工商银行扬州雍华府支行</w:t>
      </w:r>
    </w:p>
    <w:p w14:paraId="6612ECE6">
      <w:pPr>
        <w:spacing w:line="360" w:lineRule="auto"/>
        <w:ind w:firstLine="420" w:firstLineChars="200"/>
        <w:rPr>
          <w:rFonts w:ascii="宋体" w:hAnsi="宋体" w:cs="宋体"/>
          <w:color w:val="auto"/>
          <w:szCs w:val="21"/>
        </w:rPr>
      </w:pPr>
      <w:r>
        <w:rPr>
          <w:rFonts w:hint="eastAsia" w:ascii="宋体" w:hAnsi="宋体" w:cs="宋体"/>
          <w:color w:val="auto"/>
          <w:szCs w:val="21"/>
        </w:rPr>
        <w:t>开户名称：江苏苏维工程管理有限公司</w:t>
      </w:r>
    </w:p>
    <w:p w14:paraId="3DE86C14">
      <w:pPr>
        <w:spacing w:line="360" w:lineRule="auto"/>
        <w:ind w:firstLine="420" w:firstLineChars="200"/>
        <w:rPr>
          <w:rFonts w:ascii="宋体" w:hAnsi="宋体" w:cs="宋体"/>
          <w:color w:val="auto"/>
          <w:kern w:val="0"/>
          <w:szCs w:val="21"/>
        </w:rPr>
      </w:pPr>
      <w:r>
        <w:rPr>
          <w:rFonts w:hint="eastAsia" w:ascii="宋体" w:hAnsi="宋体" w:cs="宋体"/>
          <w:color w:val="auto"/>
          <w:szCs w:val="21"/>
        </w:rPr>
        <w:t>开户账号：1108020819100000612</w:t>
      </w:r>
    </w:p>
    <w:p w14:paraId="41C82D1E">
      <w:pPr>
        <w:spacing w:line="360" w:lineRule="auto"/>
        <w:ind w:firstLine="422" w:firstLineChars="200"/>
        <w:rPr>
          <w:rFonts w:ascii="宋体" w:hAnsi="宋体" w:cs="宋体"/>
          <w:b/>
          <w:bCs/>
          <w:color w:val="auto"/>
          <w:kern w:val="0"/>
          <w:szCs w:val="21"/>
        </w:rPr>
      </w:pPr>
      <w:r>
        <w:rPr>
          <w:rFonts w:hint="eastAsia" w:ascii="宋体" w:hAnsi="宋体" w:cs="宋体"/>
          <w:b/>
          <w:bCs/>
          <w:color w:val="auto"/>
          <w:kern w:val="0"/>
          <w:szCs w:val="21"/>
        </w:rPr>
        <w:t>4.4专家评审费按照《关于规范江苏省政府采购专家评审费标准的通知》（苏财购〔2016〕48号）执行。</w:t>
      </w:r>
    </w:p>
    <w:p w14:paraId="5ED75F4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5.</w:t>
      </w:r>
      <w:r>
        <w:rPr>
          <w:rFonts w:hint="eastAsia" w:ascii="宋体" w:hAnsi="宋体" w:cs="宋体"/>
          <w:color w:val="auto"/>
          <w:szCs w:val="21"/>
        </w:rPr>
        <w:t>磋商文件的约束力</w:t>
      </w:r>
    </w:p>
    <w:p w14:paraId="11F03E1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供应商一旦获取本磋商文件并决定参加磋商，即被认为接受了本磋商文件的规定和约束，并且视为自竞争性磋商公告期限届满之日起已经知道或应当知道自身权益是否受到了损害。</w:t>
      </w:r>
    </w:p>
    <w:p w14:paraId="38ADF737">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6.</w:t>
      </w:r>
      <w:bookmarkStart w:id="11" w:name="_Toc462564070"/>
      <w:bookmarkStart w:id="12" w:name="_Toc16938527"/>
      <w:bookmarkStart w:id="13" w:name="_Toc20823283"/>
      <w:bookmarkStart w:id="14" w:name="_Toc513029211"/>
      <w:r>
        <w:rPr>
          <w:rFonts w:hint="eastAsia" w:ascii="宋体" w:hAnsi="宋体" w:cs="宋体"/>
          <w:color w:val="auto"/>
          <w:szCs w:val="21"/>
        </w:rPr>
        <w:t>磋商文件的</w:t>
      </w:r>
      <w:bookmarkEnd w:id="11"/>
      <w:bookmarkEnd w:id="12"/>
      <w:bookmarkEnd w:id="13"/>
      <w:bookmarkEnd w:id="14"/>
      <w:r>
        <w:rPr>
          <w:rFonts w:hint="eastAsia" w:ascii="宋体" w:hAnsi="宋体" w:cs="宋体"/>
          <w:color w:val="auto"/>
          <w:szCs w:val="21"/>
        </w:rPr>
        <w:t>询问及修改</w:t>
      </w:r>
    </w:p>
    <w:p w14:paraId="51E2E6C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任何要求对磋商文件进行询问的供应商，均应在提交首次响应文件截止时间5日前按采购邀请中的通讯地址，向代理机构提出。提交首次响应文件截止之日前，代理机构可以对已发出的磋商文件进行必要的澄清或者修改，澄清或者修改的内容作为磋商文件的组成部分。澄清或者修改的内容可能影响响应文件编制的，代理机构将在提交首次响应文件截止时间至少5日前，在</w:t>
      </w:r>
      <w:r>
        <w:rPr>
          <w:rFonts w:hint="eastAsia" w:ascii="宋体" w:hAnsi="宋体" w:cs="宋体"/>
          <w:color w:val="auto"/>
          <w:szCs w:val="21"/>
          <w:lang w:eastAsia="zh-CN"/>
        </w:rPr>
        <w:t>“扬州大学附属医院”“扬州大学网”和“江苏招标采购服务平台”</w:t>
      </w:r>
      <w:r>
        <w:rPr>
          <w:rFonts w:hint="eastAsia" w:ascii="宋体" w:hAnsi="宋体" w:cs="宋体"/>
          <w:color w:val="auto"/>
          <w:szCs w:val="21"/>
        </w:rPr>
        <w:t>网站上发布更正公告通知所有获取磋商文件的供应商。不足5日的，代理机构应当顺延提交首次响应文件截止时间。</w:t>
      </w:r>
    </w:p>
    <w:p w14:paraId="5CE89F8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6.2代理机构或采购人可以视采购项目的具体情况，组织供应商进行现场考察或召开磋商前答疑会，但不单独或分别组织只有一个供应商参加的现场考察和答疑会。</w:t>
      </w:r>
    </w:p>
    <w:p w14:paraId="6CF7674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7.</w:t>
      </w:r>
      <w:r>
        <w:rPr>
          <w:rFonts w:hint="eastAsia" w:ascii="宋体" w:hAnsi="宋体" w:cs="宋体"/>
          <w:color w:val="auto"/>
          <w:szCs w:val="21"/>
        </w:rPr>
        <w:t>磋商文件的解释</w:t>
      </w:r>
    </w:p>
    <w:p w14:paraId="35526A10">
      <w:pPr>
        <w:spacing w:line="360" w:lineRule="auto"/>
        <w:ind w:firstLine="420" w:firstLineChars="200"/>
        <w:rPr>
          <w:rFonts w:ascii="宋体" w:hAnsi="宋体" w:cs="宋体"/>
          <w:bCs/>
          <w:color w:val="auto"/>
          <w:szCs w:val="21"/>
        </w:rPr>
      </w:pPr>
      <w:r>
        <w:rPr>
          <w:rFonts w:hint="eastAsia" w:ascii="宋体" w:hAnsi="宋体" w:cs="宋体"/>
          <w:bCs/>
          <w:color w:val="auto"/>
          <w:szCs w:val="21"/>
        </w:rPr>
        <w:t>本磋商文件由代理机构负责解释。</w:t>
      </w:r>
    </w:p>
    <w:p w14:paraId="6C51AD6A">
      <w:pPr>
        <w:tabs>
          <w:tab w:val="left" w:pos="900"/>
        </w:tabs>
        <w:spacing w:line="360" w:lineRule="auto"/>
        <w:ind w:firstLine="422" w:firstLineChars="200"/>
        <w:rPr>
          <w:rFonts w:ascii="宋体" w:hAnsi="宋体" w:cs="宋体"/>
          <w:b/>
          <w:color w:val="auto"/>
          <w:szCs w:val="21"/>
        </w:rPr>
      </w:pPr>
      <w:bookmarkStart w:id="15" w:name="_Hlt26670345"/>
      <w:bookmarkEnd w:id="15"/>
      <w:bookmarkStart w:id="16" w:name="_Hlt26954832"/>
      <w:bookmarkEnd w:id="16"/>
      <w:bookmarkStart w:id="17" w:name="_Hlt26954828"/>
      <w:bookmarkEnd w:id="17"/>
      <w:bookmarkStart w:id="18" w:name="_Hlt26670354"/>
      <w:bookmarkEnd w:id="18"/>
      <w:bookmarkStart w:id="19" w:name="_Hlt26670348"/>
      <w:bookmarkEnd w:id="19"/>
      <w:bookmarkStart w:id="20" w:name="_Hlt26954830"/>
      <w:bookmarkEnd w:id="20"/>
      <w:bookmarkStart w:id="21" w:name="_Hlt26668969"/>
      <w:bookmarkEnd w:id="21"/>
      <w:bookmarkStart w:id="22" w:name="_Toc61149553"/>
      <w:bookmarkStart w:id="23" w:name="_Toc14577351"/>
      <w:bookmarkStart w:id="24" w:name="_Toc513029213"/>
      <w:bookmarkStart w:id="25" w:name="_Toc462564072"/>
      <w:r>
        <w:rPr>
          <w:rFonts w:hint="eastAsia" w:ascii="宋体" w:hAnsi="宋体" w:cs="宋体"/>
          <w:b/>
          <w:color w:val="auto"/>
          <w:szCs w:val="21"/>
        </w:rPr>
        <w:t>二、磋商响应文件的编制</w:t>
      </w:r>
      <w:bookmarkEnd w:id="22"/>
      <w:bookmarkEnd w:id="23"/>
      <w:bookmarkEnd w:id="24"/>
      <w:bookmarkEnd w:id="25"/>
    </w:p>
    <w:p w14:paraId="15B514CE">
      <w:pPr>
        <w:tabs>
          <w:tab w:val="left" w:pos="900"/>
        </w:tabs>
        <w:spacing w:line="360" w:lineRule="auto"/>
        <w:ind w:firstLine="420" w:firstLineChars="200"/>
        <w:rPr>
          <w:rFonts w:ascii="宋体" w:hAnsi="宋体" w:cs="宋体"/>
          <w:color w:val="auto"/>
          <w:szCs w:val="21"/>
        </w:rPr>
      </w:pPr>
      <w:bookmarkStart w:id="26" w:name="_Toc14577361"/>
      <w:bookmarkStart w:id="27" w:name="_Toc513029223"/>
      <w:bookmarkStart w:id="28" w:name="_Toc61149561"/>
      <w:r>
        <w:rPr>
          <w:rFonts w:hint="eastAsia" w:ascii="宋体" w:hAnsi="宋体" w:cs="宋体"/>
          <w:color w:val="auto"/>
          <w:szCs w:val="21"/>
        </w:rPr>
        <w:t>1.磋商响应文件份数和签署</w:t>
      </w:r>
      <w:bookmarkEnd w:id="26"/>
      <w:bookmarkEnd w:id="27"/>
      <w:bookmarkEnd w:id="28"/>
    </w:p>
    <w:p w14:paraId="15B14544">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1.1磋商供应商应严格按照采购邀请要求准备磋商响应文件（以下简称响应文件），每份响应文件须清楚地标明“正本”或“副本”字样。</w:t>
      </w:r>
    </w:p>
    <w:p w14:paraId="06D36505">
      <w:pPr>
        <w:spacing w:line="360" w:lineRule="auto"/>
        <w:ind w:firstLine="420" w:firstLineChars="200"/>
        <w:rPr>
          <w:rFonts w:ascii="宋体" w:hAnsi="宋体" w:cs="宋体"/>
          <w:color w:val="auto"/>
          <w:szCs w:val="21"/>
        </w:rPr>
      </w:pPr>
      <w:r>
        <w:rPr>
          <w:rFonts w:hint="eastAsia" w:ascii="宋体" w:hAnsi="宋体" w:cs="宋体"/>
          <w:color w:val="auto"/>
          <w:szCs w:val="21"/>
        </w:rPr>
        <w:t>响应文件的正本和所有的副本均需打印或复印。响应文件正本中，磋商文件要求提供原件的必须按照要求提供，文字材料需打印或用不褪色墨水书写，响应文件正本须经法定代表人或授权代表签字和加盖磋商供应商公章。本磋商文件所表述（指定）的公章是指刻有供应商法定名称的印章，不包括合同、财务、税务、发票等形式的业务专用章。</w:t>
      </w:r>
    </w:p>
    <w:p w14:paraId="58E4E79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1.2 除磋商供应商对错处做必要修改外，响应文件不得行间插字、涂改或增删。如有修改错漏处，必须由响应文件签署人签字或盖章。</w:t>
      </w:r>
    </w:p>
    <w:p w14:paraId="584E5CE8">
      <w:pPr>
        <w:tabs>
          <w:tab w:val="left" w:pos="900"/>
        </w:tabs>
        <w:spacing w:line="360" w:lineRule="auto"/>
        <w:ind w:firstLine="420" w:firstLineChars="200"/>
        <w:rPr>
          <w:rFonts w:ascii="宋体" w:hAnsi="宋体" w:cs="宋体"/>
          <w:color w:val="auto"/>
          <w:szCs w:val="21"/>
        </w:rPr>
      </w:pPr>
      <w:bookmarkStart w:id="29" w:name="_Hlt26954834"/>
      <w:bookmarkEnd w:id="29"/>
      <w:bookmarkStart w:id="30" w:name="_Toc14577353"/>
      <w:bookmarkStart w:id="31" w:name="_Toc462564074"/>
      <w:bookmarkStart w:id="32" w:name="_Toc61149555"/>
      <w:bookmarkStart w:id="33" w:name="_Toc513029215"/>
      <w:bookmarkStart w:id="34" w:name="_Toc462564073"/>
      <w:bookmarkStart w:id="35" w:name="_Toc513029214"/>
      <w:bookmarkStart w:id="36" w:name="_Toc61149554"/>
      <w:bookmarkStart w:id="37" w:name="_Toc14577352"/>
      <w:r>
        <w:rPr>
          <w:rFonts w:hint="eastAsia" w:ascii="宋体" w:hAnsi="宋体" w:cs="宋体"/>
          <w:color w:val="auto"/>
          <w:szCs w:val="21"/>
          <w:lang w:eastAsia="zh-CN"/>
        </w:rPr>
        <w:t>2.</w:t>
      </w:r>
      <w:r>
        <w:rPr>
          <w:rFonts w:hint="eastAsia" w:ascii="宋体" w:hAnsi="宋体" w:cs="宋体"/>
          <w:color w:val="auto"/>
          <w:szCs w:val="21"/>
        </w:rPr>
        <w:t>响应文件</w:t>
      </w:r>
      <w:bookmarkEnd w:id="30"/>
      <w:bookmarkEnd w:id="31"/>
      <w:bookmarkEnd w:id="32"/>
      <w:bookmarkEnd w:id="33"/>
      <w:r>
        <w:rPr>
          <w:rFonts w:hint="eastAsia" w:ascii="宋体" w:hAnsi="宋体" w:cs="宋体"/>
          <w:color w:val="auto"/>
          <w:szCs w:val="21"/>
        </w:rPr>
        <w:t>编制要求</w:t>
      </w:r>
    </w:p>
    <w:bookmarkEnd w:id="34"/>
    <w:bookmarkEnd w:id="35"/>
    <w:bookmarkEnd w:id="36"/>
    <w:bookmarkEnd w:id="37"/>
    <w:p w14:paraId="00E0533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2.1磋商供应商提交的响应文件以及磋商供应商与代理机构及采购人就有关磋商的所有来往函电均应使用简体中文。磋商文件中既有中文也有外文的，以中文意义为准。</w:t>
      </w:r>
    </w:p>
    <w:p w14:paraId="2A62E727">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2.2 除技术性能另有规定外，响应文件所使用的度量衡单位，均须采用国家法定计量单位。</w:t>
      </w:r>
    </w:p>
    <w:p w14:paraId="3E9946E2">
      <w:pPr>
        <w:tabs>
          <w:tab w:val="left" w:pos="900"/>
        </w:tabs>
        <w:spacing w:line="360" w:lineRule="auto"/>
        <w:ind w:firstLine="420" w:firstLineChars="200"/>
        <w:rPr>
          <w:rFonts w:ascii="宋体" w:hAnsi="宋体" w:cs="宋体"/>
          <w:color w:val="auto"/>
          <w:szCs w:val="21"/>
        </w:rPr>
      </w:pPr>
      <w:bookmarkStart w:id="38" w:name="_Hlt26670357"/>
      <w:bookmarkEnd w:id="38"/>
      <w:bookmarkStart w:id="39" w:name="_Hlt26954836"/>
      <w:bookmarkEnd w:id="39"/>
      <w:bookmarkStart w:id="40" w:name="_Toc513029219"/>
      <w:bookmarkStart w:id="41" w:name="_Toc61149558"/>
      <w:bookmarkStart w:id="42" w:name="_Toc14577357"/>
      <w:bookmarkStart w:id="43" w:name="_Toc513029217"/>
      <w:bookmarkStart w:id="44" w:name="_Toc14577355"/>
      <w:bookmarkStart w:id="45" w:name="_Toc61149557"/>
      <w:r>
        <w:rPr>
          <w:rFonts w:hint="eastAsia" w:ascii="宋体" w:hAnsi="宋体" w:cs="宋体"/>
          <w:color w:val="auto"/>
          <w:szCs w:val="21"/>
          <w:lang w:eastAsia="zh-CN"/>
        </w:rPr>
        <w:t>3.</w:t>
      </w:r>
      <w:r>
        <w:rPr>
          <w:rFonts w:hint="eastAsia" w:ascii="宋体" w:hAnsi="宋体" w:cs="宋体"/>
          <w:color w:val="auto"/>
          <w:szCs w:val="21"/>
        </w:rPr>
        <w:t>参加磋商供应商资格的文件</w:t>
      </w:r>
      <w:bookmarkEnd w:id="40"/>
      <w:bookmarkEnd w:id="41"/>
      <w:bookmarkEnd w:id="42"/>
      <w:r>
        <w:rPr>
          <w:rFonts w:hint="eastAsia" w:ascii="宋体" w:hAnsi="宋体" w:cs="宋体"/>
          <w:color w:val="auto"/>
          <w:szCs w:val="21"/>
        </w:rPr>
        <w:t>证明</w:t>
      </w:r>
    </w:p>
    <w:p w14:paraId="29D273E6">
      <w:pPr>
        <w:tabs>
          <w:tab w:val="left" w:pos="900"/>
        </w:tabs>
        <w:spacing w:line="360" w:lineRule="auto"/>
        <w:ind w:firstLine="420" w:firstLineChars="200"/>
        <w:rPr>
          <w:rFonts w:ascii="宋体" w:hAnsi="宋体" w:cs="宋体"/>
          <w:color w:val="auto"/>
          <w:szCs w:val="21"/>
        </w:rPr>
      </w:pPr>
      <w:bookmarkStart w:id="46" w:name="_Hlt26668999"/>
      <w:bookmarkEnd w:id="46"/>
      <w:r>
        <w:rPr>
          <w:rFonts w:hint="eastAsia" w:ascii="宋体" w:hAnsi="宋体" w:cs="宋体"/>
          <w:color w:val="auto"/>
          <w:szCs w:val="21"/>
        </w:rPr>
        <w:t>3.1磋商供应商应提交证明其有资格参加磋商和成交后有能力独立履行合同的文件，并作为其响应文件的一部分。</w:t>
      </w:r>
    </w:p>
    <w:p w14:paraId="5AB951C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3.2磋商供应商除必须具有履行合同所需提供的设备以及服务的能力外，还必须具备相应的财务、技术方面的能力。</w:t>
      </w:r>
    </w:p>
    <w:p w14:paraId="258D5C1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3.3磋商供应商应填写并提交磋商文件所附的“资格证明文件”。</w:t>
      </w:r>
    </w:p>
    <w:p w14:paraId="4F924FA4">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4.</w:t>
      </w:r>
      <w:r>
        <w:rPr>
          <w:rFonts w:hint="eastAsia" w:ascii="宋体" w:hAnsi="宋体" w:cs="宋体"/>
          <w:color w:val="auto"/>
          <w:szCs w:val="21"/>
        </w:rPr>
        <w:t>磋商响应报价</w:t>
      </w:r>
      <w:bookmarkEnd w:id="43"/>
      <w:bookmarkEnd w:id="44"/>
      <w:bookmarkStart w:id="47" w:name="_Hlt26670373"/>
      <w:bookmarkEnd w:id="47"/>
      <w:r>
        <w:rPr>
          <w:rFonts w:hint="eastAsia" w:ascii="宋体" w:hAnsi="宋体" w:cs="宋体"/>
          <w:color w:val="auto"/>
          <w:szCs w:val="21"/>
        </w:rPr>
        <w:t>表</w:t>
      </w:r>
      <w:bookmarkEnd w:id="45"/>
    </w:p>
    <w:p w14:paraId="1F6867C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4.1磋商供应商应按照磋商文件规定格式填报磋商响应报价表（含分项报价）。每项产品或服务只允许有一个报价，任何有选择的报价将不予接受，磋商文件中另有规定的按规定执行。</w:t>
      </w:r>
    </w:p>
    <w:p w14:paraId="77C2282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4.2标的物</w:t>
      </w:r>
    </w:p>
    <w:p w14:paraId="507F028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详见第四章项目需求。</w:t>
      </w:r>
    </w:p>
    <w:p w14:paraId="6E4A5B56">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4.3有关费用处理</w:t>
      </w:r>
    </w:p>
    <w:p w14:paraId="771222E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本次采购磋商供应商的总报价应包括为完成本项目发生的所有费用，本磋商文件中另有规定的除外。</w:t>
      </w:r>
    </w:p>
    <w:p w14:paraId="3422913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4.4其它费用处理</w:t>
      </w:r>
    </w:p>
    <w:p w14:paraId="7B77108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磋商文件未列明，而磋商供应商认为必需的费用也须列入报价。</w:t>
      </w:r>
    </w:p>
    <w:p w14:paraId="62037B6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4.5报价采用的货币</w:t>
      </w:r>
    </w:p>
    <w:p w14:paraId="7A2EDED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响应文件中的单价和总价，无特殊规定的采用人民币报价，以元为单位标注。磋商文件中另有规定的按规定执行。</w:t>
      </w:r>
    </w:p>
    <w:p w14:paraId="1A8373B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4.6 磋商响应报价表上的价格应按磋商文件规定填写。</w:t>
      </w:r>
    </w:p>
    <w:p w14:paraId="1ABADB4E">
      <w:pPr>
        <w:tabs>
          <w:tab w:val="left" w:pos="900"/>
        </w:tabs>
        <w:spacing w:line="360" w:lineRule="auto"/>
        <w:ind w:firstLine="420" w:firstLineChars="200"/>
        <w:rPr>
          <w:rFonts w:ascii="宋体" w:hAnsi="宋体" w:cs="宋体"/>
          <w:color w:val="auto"/>
          <w:szCs w:val="21"/>
        </w:rPr>
      </w:pPr>
      <w:bookmarkStart w:id="48" w:name="_Hlt26954842"/>
      <w:bookmarkEnd w:id="48"/>
      <w:bookmarkStart w:id="49" w:name="_Hlt26670403"/>
      <w:bookmarkEnd w:id="49"/>
      <w:bookmarkStart w:id="50" w:name="_Hlt26670486"/>
      <w:bookmarkEnd w:id="50"/>
      <w:bookmarkStart w:id="51" w:name="_Hlt26954848"/>
      <w:bookmarkEnd w:id="51"/>
      <w:bookmarkStart w:id="52" w:name="_Hlt26954731"/>
      <w:bookmarkEnd w:id="52"/>
      <w:bookmarkStart w:id="53" w:name="_Hlt26670425"/>
      <w:bookmarkEnd w:id="53"/>
      <w:bookmarkStart w:id="54" w:name="_Hlt26670482"/>
      <w:bookmarkEnd w:id="54"/>
      <w:bookmarkStart w:id="55" w:name="_Hlt26954846"/>
      <w:bookmarkEnd w:id="55"/>
      <w:bookmarkStart w:id="56" w:name="_Hlt26954844"/>
      <w:bookmarkEnd w:id="56"/>
      <w:bookmarkStart w:id="57" w:name="_Hlt26668983"/>
      <w:bookmarkEnd w:id="57"/>
      <w:bookmarkStart w:id="58" w:name="_Toc513029221"/>
      <w:bookmarkStart w:id="59" w:name="_Toc14577359"/>
      <w:bookmarkStart w:id="60" w:name="_Toc61149559"/>
      <w:r>
        <w:rPr>
          <w:rFonts w:hint="eastAsia" w:ascii="宋体" w:hAnsi="宋体" w:cs="宋体"/>
          <w:color w:val="auto"/>
          <w:szCs w:val="21"/>
          <w:lang w:eastAsia="zh-CN"/>
        </w:rPr>
        <w:t>5.</w:t>
      </w:r>
      <w:r>
        <w:rPr>
          <w:rFonts w:hint="eastAsia" w:ascii="宋体" w:hAnsi="宋体" w:cs="宋体"/>
          <w:color w:val="auto"/>
          <w:szCs w:val="21"/>
        </w:rPr>
        <w:t>项目需求响应方案</w:t>
      </w:r>
    </w:p>
    <w:p w14:paraId="564E0DA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5.1提供为完成本项目的总体实施方案。</w:t>
      </w:r>
    </w:p>
    <w:p w14:paraId="0A6962C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5.2对磋商文件中项目需求的技术与商务条款要求逐项作出应答，并提供依据或说明。</w:t>
      </w:r>
    </w:p>
    <w:p w14:paraId="37E2644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5.3磋商供应商认为需要的其他技术文件或说明。</w:t>
      </w:r>
    </w:p>
    <w:p w14:paraId="24F0B3C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6.</w:t>
      </w:r>
      <w:r>
        <w:rPr>
          <w:rFonts w:hint="eastAsia" w:ascii="宋体" w:hAnsi="宋体" w:cs="宋体"/>
          <w:color w:val="auto"/>
          <w:szCs w:val="21"/>
        </w:rPr>
        <w:t>磋商保证金</w:t>
      </w:r>
      <w:bookmarkEnd w:id="58"/>
      <w:bookmarkEnd w:id="59"/>
      <w:bookmarkEnd w:id="60"/>
    </w:p>
    <w:p w14:paraId="56EECDC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本项目无磋商保证金</w:t>
      </w:r>
    </w:p>
    <w:p w14:paraId="732B0E45">
      <w:pPr>
        <w:tabs>
          <w:tab w:val="left" w:pos="900"/>
        </w:tabs>
        <w:spacing w:line="360" w:lineRule="auto"/>
        <w:ind w:firstLine="422" w:firstLineChars="200"/>
        <w:rPr>
          <w:rFonts w:ascii="宋体" w:hAnsi="宋体" w:cs="宋体"/>
          <w:b/>
          <w:color w:val="auto"/>
          <w:szCs w:val="21"/>
        </w:rPr>
      </w:pPr>
      <w:bookmarkStart w:id="61" w:name="_Hlt26954749"/>
      <w:bookmarkEnd w:id="61"/>
      <w:bookmarkStart w:id="62" w:name="_Hlt26670493"/>
      <w:bookmarkEnd w:id="62"/>
      <w:bookmarkStart w:id="63" w:name="_Hlt26954739"/>
      <w:bookmarkEnd w:id="63"/>
      <w:bookmarkStart w:id="64" w:name="_Hlt26954852"/>
      <w:bookmarkEnd w:id="64"/>
      <w:bookmarkStart w:id="65" w:name="_Hlt26954854"/>
      <w:bookmarkEnd w:id="65"/>
      <w:bookmarkStart w:id="66" w:name="_Hlt26954850"/>
      <w:bookmarkEnd w:id="66"/>
      <w:bookmarkStart w:id="67" w:name="_Hlt26670489"/>
      <w:bookmarkEnd w:id="67"/>
      <w:bookmarkStart w:id="68" w:name="_Hlt26954734"/>
      <w:bookmarkEnd w:id="68"/>
      <w:bookmarkStart w:id="69" w:name="_Toc61149562"/>
      <w:bookmarkStart w:id="70" w:name="_Toc513029224"/>
      <w:bookmarkStart w:id="71" w:name="_Toc14577362"/>
      <w:r>
        <w:rPr>
          <w:rFonts w:hint="eastAsia" w:ascii="宋体" w:hAnsi="宋体" w:cs="宋体"/>
          <w:b/>
          <w:color w:val="auto"/>
          <w:szCs w:val="21"/>
        </w:rPr>
        <w:t>三、响应文件的递交</w:t>
      </w:r>
      <w:bookmarkEnd w:id="69"/>
      <w:bookmarkEnd w:id="70"/>
      <w:bookmarkEnd w:id="71"/>
    </w:p>
    <w:p w14:paraId="1045505C">
      <w:pPr>
        <w:tabs>
          <w:tab w:val="left" w:pos="900"/>
        </w:tabs>
        <w:spacing w:line="360" w:lineRule="auto"/>
        <w:ind w:firstLine="420" w:firstLineChars="200"/>
        <w:rPr>
          <w:rFonts w:ascii="宋体" w:hAnsi="宋体" w:cs="宋体"/>
          <w:color w:val="auto"/>
          <w:szCs w:val="21"/>
        </w:rPr>
      </w:pPr>
      <w:bookmarkStart w:id="72" w:name="_Hlt26954856"/>
      <w:bookmarkEnd w:id="72"/>
      <w:bookmarkStart w:id="73" w:name="_Toc14577363"/>
      <w:bookmarkStart w:id="74" w:name="_Toc462564084"/>
      <w:bookmarkStart w:id="75" w:name="_Toc61149563"/>
      <w:bookmarkStart w:id="76" w:name="_Toc513029225"/>
      <w:r>
        <w:rPr>
          <w:rFonts w:hint="eastAsia" w:ascii="宋体" w:hAnsi="宋体" w:cs="宋体"/>
          <w:color w:val="auto"/>
          <w:szCs w:val="21"/>
        </w:rPr>
        <w:t>1.响应文件</w:t>
      </w:r>
      <w:bookmarkStart w:id="77" w:name="_Hlt26954743"/>
      <w:bookmarkEnd w:id="77"/>
      <w:r>
        <w:rPr>
          <w:rFonts w:hint="eastAsia" w:ascii="宋体" w:hAnsi="宋体" w:cs="宋体"/>
          <w:color w:val="auto"/>
          <w:szCs w:val="21"/>
        </w:rPr>
        <w:t>的密封和标记</w:t>
      </w:r>
      <w:bookmarkEnd w:id="73"/>
      <w:bookmarkEnd w:id="74"/>
      <w:bookmarkEnd w:id="75"/>
      <w:bookmarkEnd w:id="76"/>
    </w:p>
    <w:p w14:paraId="781BD8D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 xml:space="preserve">1.1磋商供应商应严格按照采购邀请要求的份数准备响应文件，每份响应文件须清楚地标明“正本”或“副本”字样。一旦正本和副本不符，以正本为准。磋商供应商应将响应文件正本和所有副本密封。 </w:t>
      </w:r>
    </w:p>
    <w:p w14:paraId="1F06ABC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1.2密封的响应文件应：</w:t>
      </w:r>
    </w:p>
    <w:p w14:paraId="5C09BAD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（1）按采购邀请中注明的地址送达规定地点；</w:t>
      </w:r>
    </w:p>
    <w:p w14:paraId="2FD56558">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（2）注明参加磋商项目名称、项目编号及参加的分包号（如有）；</w:t>
      </w:r>
    </w:p>
    <w:p w14:paraId="0900E6D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（3）密封包装上应写明磋商供应商名称和地址。</w:t>
      </w:r>
    </w:p>
    <w:p w14:paraId="1901801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1.3如果密封包装未按要求密封和加写标记，代理机构对误投或过早启封概不负责。对由此造成提前开封的响应文件，代理机构将予以拒绝，作无效响应处理。</w:t>
      </w:r>
    </w:p>
    <w:p w14:paraId="7AB9770E">
      <w:pPr>
        <w:tabs>
          <w:tab w:val="left" w:pos="900"/>
        </w:tabs>
        <w:spacing w:line="360" w:lineRule="auto"/>
        <w:ind w:firstLine="420" w:firstLineChars="200"/>
        <w:rPr>
          <w:rFonts w:ascii="宋体" w:hAnsi="宋体" w:cs="宋体"/>
          <w:color w:val="auto"/>
          <w:szCs w:val="21"/>
        </w:rPr>
      </w:pPr>
      <w:bookmarkStart w:id="78" w:name="_Hlt26954864"/>
      <w:bookmarkEnd w:id="78"/>
      <w:bookmarkStart w:id="79" w:name="_Hlt26954752"/>
      <w:bookmarkEnd w:id="79"/>
      <w:bookmarkStart w:id="80" w:name="_Hlt26670523"/>
      <w:bookmarkEnd w:id="80"/>
      <w:bookmarkStart w:id="81" w:name="_Hlt26670496"/>
      <w:bookmarkEnd w:id="81"/>
      <w:bookmarkStart w:id="82" w:name="_Hlt26954858"/>
      <w:bookmarkEnd w:id="82"/>
      <w:bookmarkStart w:id="83" w:name="_Toc61149564"/>
      <w:bookmarkStart w:id="84" w:name="_Toc14577364"/>
      <w:bookmarkStart w:id="85" w:name="_Toc513029226"/>
      <w:r>
        <w:rPr>
          <w:rFonts w:hint="eastAsia" w:ascii="宋体" w:hAnsi="宋体" w:cs="宋体"/>
          <w:color w:val="auto"/>
          <w:szCs w:val="21"/>
          <w:lang w:eastAsia="zh-CN"/>
        </w:rPr>
        <w:t>2.</w:t>
      </w:r>
      <w:bookmarkEnd w:id="83"/>
      <w:bookmarkEnd w:id="84"/>
      <w:bookmarkEnd w:id="85"/>
      <w:r>
        <w:rPr>
          <w:rFonts w:hint="eastAsia" w:ascii="宋体" w:hAnsi="宋体" w:cs="宋体"/>
          <w:color w:val="auto"/>
          <w:szCs w:val="21"/>
        </w:rPr>
        <w:t>响应文件开启时间</w:t>
      </w:r>
    </w:p>
    <w:p w14:paraId="2D5691A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2.1代理机构收到响应文件的时间不得迟于本磋商文件规定的响应文件接收截止时间。</w:t>
      </w:r>
    </w:p>
    <w:p w14:paraId="34FC136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2.2代理机构有权通过修改磋商文件推迟响应文件接收截止时间，在此情况下，磋商供应商的所有权利和义务以及受制的响应文件接收截止时间均应以延长后新的响应文件接收截止时间为准。</w:t>
      </w:r>
    </w:p>
    <w:p w14:paraId="10C3D645">
      <w:pPr>
        <w:tabs>
          <w:tab w:val="left" w:pos="900"/>
        </w:tabs>
        <w:spacing w:line="360" w:lineRule="auto"/>
        <w:ind w:firstLine="420" w:firstLineChars="200"/>
        <w:rPr>
          <w:rFonts w:ascii="宋体" w:hAnsi="宋体" w:cs="宋体"/>
          <w:color w:val="auto"/>
          <w:szCs w:val="21"/>
        </w:rPr>
      </w:pPr>
      <w:bookmarkStart w:id="86" w:name="_Hlt26954860"/>
      <w:bookmarkEnd w:id="86"/>
      <w:bookmarkStart w:id="87" w:name="_Toc14577365"/>
      <w:bookmarkStart w:id="88" w:name="_Toc513029227"/>
      <w:bookmarkStart w:id="89" w:name="_Toc61149565"/>
      <w:r>
        <w:rPr>
          <w:rFonts w:hint="eastAsia" w:ascii="宋体" w:hAnsi="宋体" w:cs="宋体"/>
          <w:color w:val="auto"/>
          <w:szCs w:val="21"/>
          <w:lang w:eastAsia="zh-CN"/>
        </w:rPr>
        <w:t>3.</w:t>
      </w:r>
      <w:r>
        <w:rPr>
          <w:rFonts w:hint="eastAsia" w:ascii="宋体" w:hAnsi="宋体" w:cs="宋体"/>
          <w:color w:val="auto"/>
          <w:szCs w:val="21"/>
        </w:rPr>
        <w:t>迟交的响应文件</w:t>
      </w:r>
      <w:bookmarkEnd w:id="87"/>
      <w:bookmarkEnd w:id="88"/>
      <w:bookmarkEnd w:id="89"/>
    </w:p>
    <w:p w14:paraId="77FE1B28">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3.1代理机构将拒绝在规定的响应文件接收截止时间后接收任何响应文件。</w:t>
      </w:r>
    </w:p>
    <w:p w14:paraId="0CEDE700">
      <w:pPr>
        <w:tabs>
          <w:tab w:val="left" w:pos="900"/>
        </w:tabs>
        <w:spacing w:line="360" w:lineRule="auto"/>
        <w:ind w:firstLine="420" w:firstLineChars="200"/>
        <w:rPr>
          <w:rFonts w:ascii="宋体" w:hAnsi="宋体" w:cs="宋体"/>
          <w:color w:val="auto"/>
          <w:szCs w:val="21"/>
        </w:rPr>
      </w:pPr>
      <w:bookmarkStart w:id="90" w:name="_Hlt26954862"/>
      <w:bookmarkEnd w:id="90"/>
      <w:bookmarkStart w:id="91" w:name="_Hlt26954754"/>
      <w:bookmarkEnd w:id="91"/>
      <w:bookmarkStart w:id="92" w:name="_Toc61149566"/>
      <w:bookmarkStart w:id="93" w:name="_Toc14577366"/>
      <w:bookmarkStart w:id="94" w:name="_Toc513029228"/>
      <w:r>
        <w:rPr>
          <w:rFonts w:hint="eastAsia" w:ascii="宋体" w:hAnsi="宋体" w:cs="宋体"/>
          <w:color w:val="auto"/>
          <w:szCs w:val="21"/>
          <w:lang w:eastAsia="zh-CN"/>
        </w:rPr>
        <w:t>4.</w:t>
      </w:r>
      <w:r>
        <w:rPr>
          <w:rFonts w:hint="eastAsia" w:ascii="宋体" w:hAnsi="宋体" w:cs="宋体"/>
          <w:color w:val="auto"/>
          <w:szCs w:val="21"/>
        </w:rPr>
        <w:t>响应文件</w:t>
      </w:r>
      <w:bookmarkStart w:id="95" w:name="_Hlt26670588"/>
      <w:r>
        <w:rPr>
          <w:rFonts w:hint="eastAsia" w:ascii="宋体" w:hAnsi="宋体" w:cs="宋体"/>
          <w:color w:val="auto"/>
          <w:szCs w:val="21"/>
        </w:rPr>
        <w:t>的修改</w:t>
      </w:r>
      <w:bookmarkEnd w:id="95"/>
      <w:r>
        <w:rPr>
          <w:rFonts w:hint="eastAsia" w:ascii="宋体" w:hAnsi="宋体" w:cs="宋体"/>
          <w:color w:val="auto"/>
          <w:szCs w:val="21"/>
        </w:rPr>
        <w:t>和撤回</w:t>
      </w:r>
      <w:bookmarkEnd w:id="92"/>
      <w:bookmarkEnd w:id="93"/>
      <w:bookmarkEnd w:id="94"/>
    </w:p>
    <w:p w14:paraId="1E4E3DD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4.1磋商供应商在递交响应文件后，可以修改或撤回其谈判响应文件，但这种修改和撤回，必须在规定的响应文件接收截止时间前，以书面形式送达指定地点。</w:t>
      </w:r>
    </w:p>
    <w:p w14:paraId="18FBA0F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4.2磋商供应商的修改或撤回通知书，应按本文件规定进行编制、密封、标记和发送，并应在封套上加注“修改”和“撤回”字样。</w:t>
      </w:r>
    </w:p>
    <w:p w14:paraId="14B49E5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4.3 磋商供应商在提交最后报价之前，可以根据磋商情况退出磋商。</w:t>
      </w:r>
    </w:p>
    <w:p w14:paraId="262234C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5.</w:t>
      </w:r>
      <w:r>
        <w:rPr>
          <w:rFonts w:hint="eastAsia" w:ascii="宋体" w:hAnsi="宋体" w:cs="宋体"/>
          <w:color w:val="auto"/>
          <w:szCs w:val="21"/>
        </w:rPr>
        <w:t>磋商响应有效期</w:t>
      </w:r>
    </w:p>
    <w:p w14:paraId="34ED5D38">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5.1 磋商响应有效期为代理机构规定的响应文件接收截止时间后六十（60）天。磋商响应有效期比规定短的将被视为非实质性响应性而予以拒绝。</w:t>
      </w:r>
    </w:p>
    <w:p w14:paraId="1A48653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5.2 在特殊情况下，代理机构于原磋商响应有效期满之前，可向磋商供应商提出延长磋商响应有效期的要求。这种要求与答复均应采用书面形式。磋商供应商可以拒绝代理机构的这一要求而放弃磋商响应。同意延长磋商响应有效期的磋商供应商既不能要求也不允许修改其响应文件。受磋商响应有效期约束的所有权利与义务均延长至新的有效期。</w:t>
      </w:r>
    </w:p>
    <w:p w14:paraId="3AE21A09">
      <w:pPr>
        <w:tabs>
          <w:tab w:val="left" w:pos="900"/>
        </w:tabs>
        <w:spacing w:line="360" w:lineRule="auto"/>
        <w:ind w:firstLine="422" w:firstLineChars="200"/>
        <w:rPr>
          <w:rFonts w:ascii="宋体" w:hAnsi="宋体" w:cs="宋体"/>
          <w:b/>
          <w:color w:val="auto"/>
          <w:szCs w:val="21"/>
        </w:rPr>
      </w:pPr>
      <w:r>
        <w:rPr>
          <w:rFonts w:hint="eastAsia" w:ascii="宋体" w:hAnsi="宋体" w:cs="宋体"/>
          <w:b/>
          <w:color w:val="auto"/>
          <w:szCs w:val="21"/>
        </w:rPr>
        <w:t>四、磋商与评审</w:t>
      </w:r>
    </w:p>
    <w:p w14:paraId="5C01932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1.磋商仪式</w:t>
      </w:r>
    </w:p>
    <w:p w14:paraId="0AC2115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1.1代理机构将在采购邀请中规定的时间和地点组织磋商开始仪式，仪式由代理机构主持，磋商供应商应委派携带有效证件的代表准时参加，参加仪式的代表需签名以证明其出席。</w:t>
      </w:r>
    </w:p>
    <w:p w14:paraId="6ABCC30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2.</w:t>
      </w:r>
      <w:r>
        <w:rPr>
          <w:rFonts w:hint="eastAsia" w:ascii="宋体" w:hAnsi="宋体" w:cs="宋体"/>
          <w:color w:val="auto"/>
          <w:szCs w:val="21"/>
        </w:rPr>
        <w:t>磋商小组</w:t>
      </w:r>
    </w:p>
    <w:p w14:paraId="333252A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2.1 磋商开始仪式结束后，代理机构将立即组织磋商小组进行评审。</w:t>
      </w:r>
    </w:p>
    <w:p w14:paraId="2F92B5C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2.2 磋商小组由评审专家组成，且人员构成符合有关规定。</w:t>
      </w:r>
    </w:p>
    <w:p w14:paraId="58DD188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3.</w:t>
      </w:r>
      <w:r>
        <w:rPr>
          <w:rFonts w:hint="eastAsia" w:ascii="宋体" w:hAnsi="宋体" w:cs="宋体"/>
          <w:color w:val="auto"/>
          <w:szCs w:val="21"/>
        </w:rPr>
        <w:t>磋商评审过程的保密与公正</w:t>
      </w:r>
    </w:p>
    <w:p w14:paraId="71A4E50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3.1磋商小组、采购人和代理机构工作人员、相关监督人员等与评审工作有关的人员，对评审情况以及在评审过程中获悉的国家秘密、商业秘密负有保密责任。</w:t>
      </w:r>
    </w:p>
    <w:p w14:paraId="7EE2CF7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3.2在磋商评审过程中，磋商供应商不得以任何行为影响磋商评审过程，否则其响应文件将被作为无效响应文件。</w:t>
      </w:r>
    </w:p>
    <w:p w14:paraId="26AE74C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3.3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5C9D3E74">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4.</w:t>
      </w:r>
      <w:r>
        <w:rPr>
          <w:rFonts w:hint="eastAsia" w:ascii="宋体" w:hAnsi="宋体" w:cs="宋体"/>
          <w:color w:val="auto"/>
          <w:szCs w:val="21"/>
        </w:rPr>
        <w:t>评审过程的澄清、说明和更正</w:t>
      </w:r>
    </w:p>
    <w:p w14:paraId="05A3B0F8">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并非对每个供应商都作澄清要求。</w:t>
      </w:r>
    </w:p>
    <w:p w14:paraId="43A60466">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4.2接到磋商小组要求的供应商应派人按磋商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14:paraId="2B6B7BF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4.3 接到磋商小组澄清要求的供应商如未按规定作出澄清，其风险由供应商自行承担。</w:t>
      </w:r>
    </w:p>
    <w:p w14:paraId="28C5A39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5.</w:t>
      </w:r>
      <w:r>
        <w:rPr>
          <w:rFonts w:hint="eastAsia" w:ascii="宋体" w:hAnsi="宋体" w:cs="宋体"/>
          <w:color w:val="auto"/>
          <w:szCs w:val="21"/>
        </w:rPr>
        <w:t>对响应文件的初审</w:t>
      </w:r>
    </w:p>
    <w:p w14:paraId="03BC642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5.1响应文件初审分为资格性检查和符合性检查。</w:t>
      </w:r>
    </w:p>
    <w:p w14:paraId="0B780A1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资格性检查：依据法律法规和磋商文件的规定，对响应文件中的资格证明文件等进行审查，以确定供应商是否具备参加磋商的资格。</w:t>
      </w:r>
    </w:p>
    <w:p w14:paraId="24A840F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符合性检查：依据磋商文件的规定，从响应文件的有效性、完整性和对磋商文件的响应程度进行审查，以确定是否对磋商文件的实质性要求作出响应。</w:t>
      </w:r>
    </w:p>
    <w:p w14:paraId="64BC677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5.2在正式磋商之前，磋商小组将首先审查每份响应文件是否实质性响应了磋商文件的要求。实质性响应的响应文件应该是与磋商文件要求的条款、条件和规格相符，没有重大偏离或保留。</w:t>
      </w:r>
    </w:p>
    <w:p w14:paraId="0009713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所谓重大偏离或保留是指与磋商文件规定的实质性要求存在负偏离，或者在实质上与磋商文件不一致，而且限制了合同中买方和见证方的权利或供应商的义务，纠正这些偏离或保留将会对其他实质性响应要求的供应商的竞争地位产生不公正的影响。是否属于重大偏离由谈判小组按照少数服从多数的原则作出结论。磋商小组决定响应文件的响应性只根据响应文件本身的内容，而不寻求外部的证据。</w:t>
      </w:r>
    </w:p>
    <w:p w14:paraId="48F4019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5.3 被认定为未实质性响应磋商文件的响应文件的情形</w:t>
      </w:r>
    </w:p>
    <w:p w14:paraId="7B69A2E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（1）未按照磋商文件规定要求密封、签署、盖章的；</w:t>
      </w:r>
    </w:p>
    <w:p w14:paraId="0D5683C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（2）供应商在报价时采用选择性报价；</w:t>
      </w:r>
    </w:p>
    <w:p w14:paraId="347A0E1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（3）供应商不具备磋商文件中规定资格要求的；</w:t>
      </w:r>
    </w:p>
    <w:p w14:paraId="303C32C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（4）不符合</w:t>
      </w:r>
      <w:r>
        <w:rPr>
          <w:rFonts w:hint="eastAsia" w:ascii="宋体" w:hAnsi="宋体" w:cs="宋体"/>
          <w:color w:val="auto"/>
          <w:szCs w:val="21"/>
          <w:lang w:eastAsia="zh-CN"/>
        </w:rPr>
        <w:t>法律法规</w:t>
      </w:r>
      <w:r>
        <w:rPr>
          <w:rFonts w:hint="eastAsia" w:ascii="宋体" w:hAnsi="宋体" w:cs="宋体"/>
          <w:color w:val="auto"/>
          <w:szCs w:val="21"/>
        </w:rPr>
        <w:t>和磋商文件中规定的其他实质性要求和条件的（本磋商文件中斜体且有下划线部分为实质性要求和条件）；</w:t>
      </w:r>
    </w:p>
    <w:p w14:paraId="47A2B62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（5）其他</w:t>
      </w:r>
      <w:r>
        <w:rPr>
          <w:rFonts w:hint="eastAsia" w:ascii="宋体" w:hAnsi="宋体" w:cs="宋体"/>
          <w:color w:val="auto"/>
          <w:szCs w:val="21"/>
          <w:lang w:eastAsia="zh-CN"/>
        </w:rPr>
        <w:t>法律法规</w:t>
      </w:r>
      <w:r>
        <w:rPr>
          <w:rFonts w:hint="eastAsia" w:ascii="宋体" w:hAnsi="宋体" w:cs="宋体"/>
          <w:color w:val="auto"/>
          <w:szCs w:val="21"/>
        </w:rPr>
        <w:t>及本磋商文件规定的属未实质性响应的响应文件的情形。</w:t>
      </w:r>
    </w:p>
    <w:p w14:paraId="19DEA2C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5.4 未实质性响应磋商文件的响应文件按无效响应处理，磋商小组将予以拒绝，供应商不得通过修改或撤销不符合要求的偏离或保留而使其响应文件成为实质性响应的文件。</w:t>
      </w:r>
    </w:p>
    <w:p w14:paraId="617B242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5.5同一项目（项目未分包）或同一分包（项目有不同分包），如出现同一品牌同一型号的产品有多个供应商参加磋商时，磋商中在其他条件合格的前提下，选取首次报价最低的供应商参加磋商最后报价，其他供应商作为无效响应处理。</w:t>
      </w:r>
    </w:p>
    <w:p w14:paraId="63893565">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lang w:eastAsia="zh-CN"/>
        </w:rPr>
        <w:t>6.</w:t>
      </w:r>
      <w:r>
        <w:rPr>
          <w:rFonts w:hint="eastAsia" w:ascii="宋体" w:hAnsi="宋体" w:cs="宋体"/>
          <w:b/>
          <w:bCs/>
          <w:color w:val="auto"/>
          <w:szCs w:val="21"/>
        </w:rPr>
        <w:t>异常低价投标（响应）审查</w:t>
      </w:r>
    </w:p>
    <w:p w14:paraId="5812E24F">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6.1评标过程中出现下列情形之一的，磋商小组应当启动异常低价投标（响应）审查程序：</w:t>
      </w:r>
    </w:p>
    <w:p w14:paraId="33981063">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（1）投标（响应）报价低于全部通过符合性审查供应商投标（响应）报价平均值50%的，即投标（响应）报价＜全部通过符合性审查供应商投标（响应）报价平均值×50%；</w:t>
      </w:r>
    </w:p>
    <w:p w14:paraId="2BE90CF1">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（2）投标（响应）报价低于通过符合性审查的次低报价供应商投标（响应）报价50%的，即投标（响应）报价＜通过符合性审查的次低报价供应商投标（响应）报价×50%；</w:t>
      </w:r>
    </w:p>
    <w:p w14:paraId="64047DA8">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（3）投标（响应）报价低于采购项目最高限价45%的，即投标（响应）报价＜采购项目最高限价×45%；</w:t>
      </w:r>
    </w:p>
    <w:p w14:paraId="3F524CA4">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（4）磋商小组基于专业判断，认为供应商报价过低，有可能影响产品质量或者不能诚信履约的其他情形。</w:t>
      </w:r>
    </w:p>
    <w:p w14:paraId="2AE39DC5">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6.2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不少于30分钟。其中，属于第3项情形，供应商已随投标（响应）文件一并提交相关书面说明及必要的证明材料的，在评审现场可不再重复提交。</w:t>
      </w:r>
    </w:p>
    <w:p w14:paraId="5CCC996D">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6.3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4EB96828">
      <w:pPr>
        <w:tabs>
          <w:tab w:val="left" w:pos="900"/>
        </w:tabs>
        <w:spacing w:line="360" w:lineRule="auto"/>
        <w:ind w:firstLine="420" w:firstLineChars="200"/>
        <w:rPr>
          <w:rFonts w:ascii="宋体" w:hAnsi="宋体" w:cs="宋体"/>
          <w:color w:val="auto"/>
          <w:szCs w:val="21"/>
        </w:rPr>
      </w:pPr>
      <w:bookmarkStart w:id="96" w:name="_Toc20823307"/>
      <w:bookmarkStart w:id="97" w:name="_Toc513029235"/>
      <w:bookmarkStart w:id="98" w:name="_Toc16938551"/>
      <w:r>
        <w:rPr>
          <w:rFonts w:hint="eastAsia" w:ascii="宋体" w:hAnsi="宋体" w:cs="宋体"/>
          <w:color w:val="auto"/>
          <w:szCs w:val="21"/>
          <w:lang w:eastAsia="zh-CN"/>
        </w:rPr>
        <w:t>7.</w:t>
      </w:r>
      <w:r>
        <w:rPr>
          <w:rFonts w:hint="eastAsia" w:ascii="宋体" w:hAnsi="宋体" w:cs="宋体"/>
          <w:color w:val="auto"/>
          <w:szCs w:val="21"/>
        </w:rPr>
        <w:t>磋商程序及评审方法和标准</w:t>
      </w:r>
    </w:p>
    <w:p w14:paraId="0413DC5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7.1磋商程序</w:t>
      </w:r>
    </w:p>
    <w:p w14:paraId="498FDD21">
      <w:pPr>
        <w:tabs>
          <w:tab w:val="left" w:pos="900"/>
        </w:tabs>
        <w:spacing w:line="360" w:lineRule="auto"/>
        <w:ind w:firstLine="404" w:firstLineChars="200"/>
        <w:rPr>
          <w:rFonts w:ascii="宋体" w:hAnsi="宋体" w:cs="宋体"/>
          <w:color w:val="auto"/>
          <w:spacing w:val="-4"/>
          <w:szCs w:val="21"/>
        </w:rPr>
      </w:pPr>
      <w:r>
        <w:rPr>
          <w:rFonts w:hint="eastAsia" w:ascii="宋体" w:hAnsi="宋体" w:cs="宋体"/>
          <w:color w:val="auto"/>
          <w:spacing w:val="-4"/>
          <w:szCs w:val="21"/>
        </w:rPr>
        <w:t>7.1.1 对于通过资格性和符合性审查的供应商，磋商小组所有成员将集中与单一供应商分别进行磋商。</w:t>
      </w:r>
    </w:p>
    <w:p w14:paraId="134588A8">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在磋商过程中，磋商小组可能根据磋商文件和磋商情况实质性变动的内容有：采购需求中的技术、服务要求以及合同草案条款。对磋商文件作出的实质性变动是磋商文件的有效组成部分，磋商小组将以书面形式同时通知所有参加磋商的供应商。供应商应当按照磋商文件的变动情况和磋商小组的要求重新提交响应文件，并由其法定代表人或授权代表签字或者加盖公章。</w:t>
      </w:r>
    </w:p>
    <w:p w14:paraId="6E2BA88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7.1.2 磋商文件能够详细列明采购标的的技术、服务要求的，磋商结束后，磋商小组将要求所有实质性响应的供应商在规定时间内提交最后报价。</w:t>
      </w:r>
    </w:p>
    <w:p w14:paraId="1EDE468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磋商文件不能详细列明采购标的的技术、服务要求，需经磋商由供应商提供最终设计方案或解决方案的，磋商结束后，磋商小组将按照少数服从多数的原则投票推荐3家以上供应商的设计方案或者解决方案，并要求其在规定时间内提交最后报价。</w:t>
      </w:r>
    </w:p>
    <w:p w14:paraId="2133B45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最后报价是供应商响应文件的有效组成部分。符合《政府采购竞争性磋商采购方式管理暂行办法》第三条第四项及《财政部关于竞争性磋商采购方式管理暂行办法有关问题的补充通知》（财库〔2015〕124号）规定情形的，提交最后报价的供应商可以为2家。</w:t>
      </w:r>
    </w:p>
    <w:p w14:paraId="5893920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7.1.3 磋商供应商未在磋商小组规定的时间内完成最后报价的视为放弃磋商，其磋商响应按无效响应处理。最后报价须由磋商供应商法定代表人或授权代表签字或者加盖公章。已提交响应文件的供应商，在提交最后报价之前，可以根据磋商情况退出磋商。</w:t>
      </w:r>
    </w:p>
    <w:bookmarkEnd w:id="96"/>
    <w:bookmarkEnd w:id="97"/>
    <w:bookmarkEnd w:id="98"/>
    <w:p w14:paraId="253C289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7.2 评审方法和标准</w:t>
      </w:r>
    </w:p>
    <w:p w14:paraId="52B76F38">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7.2.1评审方法。经磋商确定最终采购需求和提交最后报价的供应商后，由磋商小组采用综合评分法对提交最后报价的供应商的响应文件和最后报价进行综合评分。</w:t>
      </w:r>
    </w:p>
    <w:p w14:paraId="55721F2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04DBA82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7.2.2评审标准</w:t>
      </w:r>
    </w:p>
    <w:p w14:paraId="24C4213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见本磋商文件第五章规定。</w:t>
      </w:r>
    </w:p>
    <w:p w14:paraId="3CF6B93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7.3采购活动终止的情况</w:t>
      </w:r>
    </w:p>
    <w:p w14:paraId="5325810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出现下列情形之一的，本次竞争性磋商采购活动将被终止：</w:t>
      </w:r>
    </w:p>
    <w:p w14:paraId="73D75CD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（1）因情况变化，不再符合规定的竞争性磋商采购方式适用情形的；</w:t>
      </w:r>
    </w:p>
    <w:p w14:paraId="6A47560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（2）出现影响采购公正的违法、违规行为的；</w:t>
      </w:r>
    </w:p>
    <w:p w14:paraId="5B9007F6">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（3）除本磋商文件第7.1.2条第三款规定的情形外，在采购过程中符合要求的供应商或者报价未超过采购预算的供应商不足3家的。</w:t>
      </w:r>
      <w:r>
        <w:rPr>
          <w:rFonts w:hint="eastAsia" w:ascii="宋体" w:hAnsi="宋体" w:cs="宋体"/>
          <w:color w:val="auto"/>
          <w:szCs w:val="21"/>
        </w:rPr>
        <w:tab/>
      </w:r>
    </w:p>
    <w:p w14:paraId="0CDE4078">
      <w:pPr>
        <w:tabs>
          <w:tab w:val="left" w:pos="900"/>
        </w:tabs>
        <w:spacing w:line="360" w:lineRule="auto"/>
        <w:ind w:firstLine="422" w:firstLineChars="200"/>
        <w:rPr>
          <w:rFonts w:ascii="宋体" w:hAnsi="宋体" w:cs="宋体"/>
          <w:b/>
          <w:color w:val="auto"/>
          <w:szCs w:val="21"/>
        </w:rPr>
      </w:pPr>
      <w:r>
        <w:rPr>
          <w:rFonts w:hint="eastAsia" w:ascii="宋体" w:hAnsi="宋体" w:cs="宋体"/>
          <w:b/>
          <w:color w:val="auto"/>
          <w:szCs w:val="21"/>
        </w:rPr>
        <w:t>五、成交</w:t>
      </w:r>
    </w:p>
    <w:p w14:paraId="5275C6B4">
      <w:pPr>
        <w:tabs>
          <w:tab w:val="left" w:pos="900"/>
        </w:tabs>
        <w:spacing w:line="360" w:lineRule="auto"/>
        <w:ind w:firstLine="420" w:firstLineChars="200"/>
        <w:rPr>
          <w:rFonts w:ascii="宋体" w:hAnsi="宋体" w:cs="宋体"/>
          <w:color w:val="auto"/>
          <w:szCs w:val="21"/>
        </w:rPr>
      </w:pPr>
      <w:bookmarkStart w:id="99" w:name="_Toc513029238"/>
      <w:bookmarkStart w:id="100" w:name="_Toc16938554"/>
      <w:bookmarkStart w:id="101" w:name="_Toc20823310"/>
      <w:r>
        <w:rPr>
          <w:rFonts w:hint="eastAsia" w:ascii="宋体" w:hAnsi="宋体" w:cs="宋体"/>
          <w:color w:val="auto"/>
          <w:szCs w:val="21"/>
        </w:rPr>
        <w:t>1.</w:t>
      </w:r>
      <w:bookmarkEnd w:id="99"/>
      <w:r>
        <w:rPr>
          <w:rFonts w:hint="eastAsia" w:ascii="宋体" w:hAnsi="宋体" w:cs="宋体"/>
          <w:color w:val="auto"/>
          <w:szCs w:val="21"/>
        </w:rPr>
        <w:t>确定</w:t>
      </w:r>
      <w:bookmarkEnd w:id="100"/>
      <w:bookmarkEnd w:id="101"/>
      <w:r>
        <w:rPr>
          <w:rFonts w:hint="eastAsia" w:ascii="宋体" w:hAnsi="宋体" w:cs="宋体"/>
          <w:color w:val="auto"/>
          <w:szCs w:val="21"/>
        </w:rPr>
        <w:t>成交单位</w:t>
      </w:r>
    </w:p>
    <w:p w14:paraId="7BB501E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1.1 磋商小组根据综合评分情况，按照评审得分由高到低顺序推荐3名以上成交候选供应商，并编写评审报告。符合本文件第7.1.2条情形的，可以推荐2家成交候选供应商。评审得分相同的，按照最后报价由低到高的顺序推荐。评审得分且最后报价相同的，按照技术指标优劣顺序推荐。</w:t>
      </w:r>
    </w:p>
    <w:p w14:paraId="60F73547">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1.2采购人根据磋商小组推荐的成交候选人确定成交供应商。采购</w:t>
      </w:r>
      <w:r>
        <w:rPr>
          <w:rFonts w:hint="eastAsia" w:ascii="宋体" w:hAnsi="宋体" w:cs="宋体"/>
          <w:color w:val="auto"/>
          <w:szCs w:val="21"/>
          <w:lang w:eastAsia="zh-CN"/>
        </w:rPr>
        <w:t>人在确定成交供应商</w:t>
      </w:r>
      <w:r>
        <w:rPr>
          <w:rFonts w:hint="eastAsia" w:ascii="宋体" w:hAnsi="宋体" w:cs="宋体"/>
          <w:color w:val="auto"/>
          <w:szCs w:val="21"/>
        </w:rPr>
        <w:t>后，代理机构将在</w:t>
      </w:r>
      <w:r>
        <w:rPr>
          <w:rFonts w:hint="eastAsia" w:ascii="宋体" w:hAnsi="宋体" w:cs="宋体"/>
          <w:color w:val="auto"/>
          <w:szCs w:val="21"/>
          <w:lang w:eastAsia="zh-CN"/>
        </w:rPr>
        <w:t>“扬州大学附属医院”“扬州大学网”和“江苏招标采购服务平台”</w:t>
      </w:r>
      <w:r>
        <w:rPr>
          <w:rFonts w:hint="eastAsia" w:ascii="宋体" w:hAnsi="宋体" w:cs="宋体"/>
          <w:color w:val="auto"/>
          <w:szCs w:val="21"/>
        </w:rPr>
        <w:t>发布成交结果公告，公告期限为1个工作日。</w:t>
      </w:r>
    </w:p>
    <w:p w14:paraId="1C1FA52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1.3若有充分证据证明，成交供应商出现下列情况之一的，一经查实，将被取消成交资格：</w:t>
      </w:r>
    </w:p>
    <w:p w14:paraId="57E1EFF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（1）提供虚假材料谋取成交的；</w:t>
      </w:r>
    </w:p>
    <w:p w14:paraId="5BA107E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（2）与评审专家、采购人、其他供应商或者代理机构工作人员恶意串通的；</w:t>
      </w:r>
    </w:p>
    <w:p w14:paraId="660A5876">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（3）向评审专家、采购人或代理机构工作人员行贿或者提供其他不正当利益的；</w:t>
      </w:r>
    </w:p>
    <w:p w14:paraId="7114023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（4）恶意竞争，最终总报价明显低于其自身合理成本且又无法提供证明的；</w:t>
      </w:r>
    </w:p>
    <w:p w14:paraId="257BB70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（5）不满足本磋商文件规定的实质性要求，但在评审过程中又未被磋商小组发现的；</w:t>
      </w:r>
    </w:p>
    <w:p w14:paraId="09E31FA4">
      <w:pPr>
        <w:tabs>
          <w:tab w:val="left" w:pos="900"/>
        </w:tabs>
        <w:spacing w:line="360" w:lineRule="auto"/>
        <w:ind w:firstLine="396" w:firstLineChars="200"/>
        <w:rPr>
          <w:rFonts w:ascii="宋体" w:hAnsi="宋体" w:cs="宋体"/>
          <w:color w:val="auto"/>
          <w:spacing w:val="-6"/>
          <w:szCs w:val="21"/>
        </w:rPr>
      </w:pPr>
      <w:r>
        <w:rPr>
          <w:rFonts w:hint="eastAsia" w:ascii="宋体" w:hAnsi="宋体" w:cs="宋体"/>
          <w:color w:val="auto"/>
          <w:spacing w:val="-6"/>
          <w:szCs w:val="21"/>
        </w:rPr>
        <w:t>（6）成交后无正当理由拒不与采购人签订采购合同或者未按照磋商文件确定的事项签订合同；</w:t>
      </w:r>
    </w:p>
    <w:p w14:paraId="3AD9A28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（7）将合同转包；</w:t>
      </w:r>
    </w:p>
    <w:p w14:paraId="543E6EA6">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（8）</w:t>
      </w:r>
      <w:r>
        <w:rPr>
          <w:rFonts w:hint="eastAsia" w:ascii="宋体" w:hAnsi="宋体" w:cs="宋体"/>
          <w:color w:val="auto"/>
          <w:szCs w:val="21"/>
          <w:lang w:eastAsia="zh-CN"/>
        </w:rPr>
        <w:t>法律法规</w:t>
      </w:r>
      <w:r>
        <w:rPr>
          <w:rFonts w:hint="eastAsia" w:ascii="宋体" w:hAnsi="宋体" w:cs="宋体"/>
          <w:color w:val="auto"/>
          <w:szCs w:val="21"/>
        </w:rPr>
        <w:t>、规章规定的属于成交无效的其他情形。</w:t>
      </w:r>
    </w:p>
    <w:p w14:paraId="584E725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2.</w:t>
      </w:r>
      <w:r>
        <w:rPr>
          <w:rFonts w:hint="eastAsia" w:ascii="宋体" w:hAnsi="宋体" w:cs="宋体"/>
          <w:color w:val="auto"/>
          <w:szCs w:val="21"/>
        </w:rPr>
        <w:t>质疑处理</w:t>
      </w:r>
    </w:p>
    <w:p w14:paraId="702521F5">
      <w:pPr>
        <w:spacing w:line="360" w:lineRule="auto"/>
        <w:ind w:firstLine="420" w:firstLineChars="200"/>
        <w:rPr>
          <w:rFonts w:ascii="宋体" w:hAnsi="宋体" w:cs="宋体"/>
          <w:color w:val="auto"/>
          <w:szCs w:val="21"/>
        </w:rPr>
      </w:pPr>
      <w:r>
        <w:rPr>
          <w:rFonts w:hint="eastAsia" w:ascii="宋体" w:hAnsi="宋体" w:cs="宋体"/>
          <w:color w:val="auto"/>
          <w:szCs w:val="21"/>
        </w:rPr>
        <w:t>2.1磋商供应商认为磋商文件、采购过程和中标或成交结果使自己的权益受到损害的，可以在知道或应知其权益受到损害之日起七个工作日内，以书面形式向采购人或代理机构提出质疑。</w:t>
      </w:r>
    </w:p>
    <w:p w14:paraId="119D7E59">
      <w:pPr>
        <w:spacing w:line="360" w:lineRule="auto"/>
        <w:ind w:firstLine="420" w:firstLineChars="200"/>
        <w:jc w:val="left"/>
        <w:rPr>
          <w:rFonts w:ascii="宋体" w:hAnsi="宋体" w:cs="宋体"/>
          <w:color w:val="auto"/>
          <w:szCs w:val="21"/>
        </w:rPr>
      </w:pPr>
      <w:r>
        <w:rPr>
          <w:rFonts w:hint="eastAsia" w:ascii="宋体" w:hAnsi="宋体" w:cs="宋体"/>
          <w:color w:val="auto"/>
          <w:szCs w:val="21"/>
        </w:rPr>
        <w:t>2.1.1对可以质疑的磋商文件提出质疑的，应当在获取磋商文件之日或者磋商文件公告期限届满之日起7个工作日内提出。</w:t>
      </w:r>
    </w:p>
    <w:p w14:paraId="1FB0F469">
      <w:pPr>
        <w:spacing w:line="360" w:lineRule="auto"/>
        <w:ind w:firstLine="420" w:firstLineChars="200"/>
        <w:jc w:val="left"/>
        <w:rPr>
          <w:rFonts w:ascii="宋体" w:hAnsi="宋体" w:cs="宋体"/>
          <w:color w:val="auto"/>
          <w:szCs w:val="21"/>
        </w:rPr>
      </w:pPr>
      <w:r>
        <w:rPr>
          <w:rFonts w:hint="eastAsia" w:ascii="宋体" w:hAnsi="宋体" w:cs="宋体"/>
          <w:color w:val="auto"/>
          <w:szCs w:val="21"/>
        </w:rPr>
        <w:t>2.1.2对采购过程提出质疑的，为各采购程序环节结束之日起7个工作日内提出。</w:t>
      </w:r>
    </w:p>
    <w:p w14:paraId="1C215C22">
      <w:pPr>
        <w:spacing w:line="360" w:lineRule="auto"/>
        <w:ind w:firstLine="420" w:firstLineChars="200"/>
        <w:jc w:val="left"/>
        <w:rPr>
          <w:rFonts w:ascii="宋体" w:hAnsi="宋体" w:cs="宋体"/>
          <w:color w:val="auto"/>
          <w:szCs w:val="21"/>
        </w:rPr>
      </w:pPr>
      <w:r>
        <w:rPr>
          <w:rFonts w:hint="eastAsia" w:ascii="宋体" w:hAnsi="宋体" w:cs="宋体"/>
          <w:color w:val="auto"/>
          <w:szCs w:val="21"/>
        </w:rPr>
        <w:t>2.1.3对成交结果提出质疑的，为成交结果公告期限届满之日起7个工作日内提出。</w:t>
      </w:r>
    </w:p>
    <w:p w14:paraId="6C674BFD">
      <w:pPr>
        <w:spacing w:line="360" w:lineRule="auto"/>
        <w:ind w:firstLine="420" w:firstLineChars="200"/>
        <w:rPr>
          <w:rFonts w:ascii="宋体" w:hAnsi="宋体" w:cs="宋体"/>
          <w:snapToGrid w:val="0"/>
          <w:color w:val="auto"/>
          <w:szCs w:val="21"/>
        </w:rPr>
      </w:pPr>
      <w:r>
        <w:rPr>
          <w:rFonts w:hint="eastAsia" w:ascii="宋体" w:hAnsi="宋体" w:cs="宋体"/>
          <w:color w:val="auto"/>
          <w:szCs w:val="21"/>
        </w:rPr>
        <w:t>2.2质疑供应商应在法定质疑期内一次性提出针对同一采购程序环节的质疑。质疑必须按《中华人民共和国政府采购法</w:t>
      </w:r>
      <w:r>
        <w:rPr>
          <w:rFonts w:hint="eastAsia" w:ascii="宋体" w:hAnsi="宋体" w:cs="宋体"/>
          <w:color w:val="auto"/>
          <w:szCs w:val="21"/>
          <w:lang w:eastAsia="zh-CN"/>
        </w:rPr>
        <w:t>》《</w:t>
      </w:r>
      <w:r>
        <w:rPr>
          <w:rFonts w:hint="eastAsia" w:ascii="宋体" w:hAnsi="宋体" w:cs="宋体"/>
          <w:color w:val="auto"/>
          <w:szCs w:val="21"/>
        </w:rPr>
        <w:t>中华人民共和国政府采购法实施条例》及《政府采购质疑和投诉办法》等相关规定提交</w:t>
      </w:r>
      <w:r>
        <w:rPr>
          <w:rFonts w:hint="eastAsia" w:ascii="宋体" w:hAnsi="宋体" w:cs="宋体"/>
          <w:color w:val="auto"/>
          <w:spacing w:val="-20"/>
          <w:szCs w:val="21"/>
        </w:rPr>
        <w:t>。</w:t>
      </w:r>
    </w:p>
    <w:p w14:paraId="54382E8F">
      <w:pPr>
        <w:spacing w:line="360" w:lineRule="auto"/>
        <w:ind w:firstLine="420" w:firstLineChars="200"/>
        <w:rPr>
          <w:rFonts w:ascii="宋体" w:hAnsi="宋体" w:cs="宋体"/>
          <w:color w:val="auto"/>
          <w:szCs w:val="21"/>
        </w:rPr>
      </w:pPr>
      <w:r>
        <w:rPr>
          <w:rFonts w:hint="eastAsia" w:ascii="宋体" w:hAnsi="宋体" w:cs="宋体"/>
          <w:color w:val="auto"/>
          <w:szCs w:val="21"/>
        </w:rPr>
        <w:t>2.3提出质疑的供应商（以下简称质疑供应商）应当是参与所质疑项目采购活动的供应商。未参加磋商采购活动的供应商或在磋商采购活动中自身权益未受到损害的供应商所提出的质疑不予受理。</w:t>
      </w:r>
    </w:p>
    <w:p w14:paraId="54B057B3">
      <w:pPr>
        <w:spacing w:line="360" w:lineRule="auto"/>
        <w:ind w:firstLine="420" w:firstLineChars="200"/>
        <w:rPr>
          <w:rFonts w:ascii="宋体" w:hAnsi="宋体" w:cs="宋体"/>
          <w:color w:val="auto"/>
          <w:szCs w:val="21"/>
        </w:rPr>
      </w:pPr>
      <w:r>
        <w:rPr>
          <w:rFonts w:hint="eastAsia" w:ascii="宋体" w:hAnsi="宋体" w:cs="宋体"/>
          <w:color w:val="auto"/>
          <w:szCs w:val="21"/>
        </w:rPr>
        <w:t>质疑必须由磋商供应商法定代表人或授权代表（响应文件中所确定的）以原件送达的方式提交，未按上述要求提交的质疑函（含传真、电子邮件等）代理机构有权不予受理。</w:t>
      </w:r>
    </w:p>
    <w:p w14:paraId="728C6B46">
      <w:pPr>
        <w:spacing w:line="360" w:lineRule="auto"/>
        <w:ind w:firstLine="420" w:firstLineChars="200"/>
        <w:rPr>
          <w:rFonts w:ascii="宋体" w:hAnsi="宋体" w:cs="宋体"/>
          <w:color w:val="auto"/>
          <w:szCs w:val="21"/>
        </w:rPr>
      </w:pPr>
      <w:r>
        <w:rPr>
          <w:rFonts w:hint="eastAsia" w:ascii="宋体" w:hAnsi="宋体" w:cs="宋体"/>
          <w:color w:val="auto"/>
          <w:szCs w:val="21"/>
        </w:rPr>
        <w:t>采购人及代理机构只接收以纸质原件形式送达的质疑，不接受无快递运单号的快递。质疑接收人及联系方式见磋商文件第一章。</w:t>
      </w:r>
    </w:p>
    <w:p w14:paraId="01D71390">
      <w:pPr>
        <w:spacing w:line="360" w:lineRule="auto"/>
        <w:ind w:firstLine="420" w:firstLineChars="200"/>
        <w:rPr>
          <w:rFonts w:ascii="宋体" w:hAnsi="宋体" w:cs="宋体"/>
          <w:color w:val="auto"/>
          <w:kern w:val="0"/>
          <w:szCs w:val="21"/>
        </w:rPr>
      </w:pPr>
      <w:r>
        <w:rPr>
          <w:rFonts w:hint="eastAsia" w:ascii="宋体" w:hAnsi="宋体" w:cs="宋体"/>
          <w:color w:val="auto"/>
          <w:szCs w:val="21"/>
        </w:rPr>
        <w:t>潜在供应商已依法获取其可质疑的采购文件的，可以对该文件提出质疑。对采购文件提出质疑的，应当在获取采购文件或者采购文件公告期限届满之日起7个工作日内提出。</w:t>
      </w:r>
    </w:p>
    <w:p w14:paraId="3B28D74C">
      <w:pPr>
        <w:spacing w:line="360" w:lineRule="auto"/>
        <w:ind w:firstLine="420" w:firstLineChars="200"/>
        <w:rPr>
          <w:rFonts w:ascii="宋体" w:hAnsi="宋体" w:cs="宋体"/>
          <w:color w:val="auto"/>
          <w:szCs w:val="21"/>
        </w:rPr>
      </w:pPr>
      <w:r>
        <w:rPr>
          <w:rFonts w:hint="eastAsia" w:ascii="宋体" w:hAnsi="宋体" w:cs="宋体"/>
          <w:color w:val="auto"/>
          <w:szCs w:val="21"/>
        </w:rPr>
        <w:t>2.4供应商提出质疑应当提交质疑函和必要的证明材料。质疑函应当包括下列内容：</w:t>
      </w:r>
    </w:p>
    <w:p w14:paraId="29EACC8A">
      <w:pPr>
        <w:spacing w:line="360" w:lineRule="auto"/>
        <w:ind w:firstLine="420" w:firstLineChars="200"/>
        <w:rPr>
          <w:rFonts w:ascii="宋体" w:hAnsi="宋体" w:cs="宋体"/>
          <w:color w:val="auto"/>
          <w:szCs w:val="21"/>
        </w:rPr>
      </w:pPr>
      <w:r>
        <w:rPr>
          <w:rFonts w:hint="eastAsia" w:ascii="宋体" w:hAnsi="宋体" w:cs="宋体"/>
          <w:color w:val="auto"/>
          <w:szCs w:val="21"/>
        </w:rPr>
        <w:t>2.4.1质疑供应商的姓名或者名称、地址、邮编、联系人及联系电话；</w:t>
      </w:r>
    </w:p>
    <w:p w14:paraId="038A2C58">
      <w:pPr>
        <w:spacing w:line="360" w:lineRule="auto"/>
        <w:ind w:firstLine="420" w:firstLineChars="200"/>
        <w:rPr>
          <w:rFonts w:ascii="宋体" w:hAnsi="宋体" w:cs="宋体"/>
          <w:color w:val="auto"/>
          <w:szCs w:val="21"/>
        </w:rPr>
      </w:pPr>
      <w:r>
        <w:rPr>
          <w:rFonts w:hint="eastAsia" w:ascii="宋体" w:hAnsi="宋体" w:cs="宋体"/>
          <w:color w:val="auto"/>
          <w:szCs w:val="21"/>
        </w:rPr>
        <w:t>2.4.2质疑项目的名称、编号；</w:t>
      </w:r>
    </w:p>
    <w:p w14:paraId="74664C54">
      <w:pPr>
        <w:spacing w:line="360" w:lineRule="auto"/>
        <w:ind w:firstLine="420" w:firstLineChars="200"/>
        <w:rPr>
          <w:rFonts w:ascii="宋体" w:hAnsi="宋体" w:cs="宋体"/>
          <w:color w:val="auto"/>
          <w:szCs w:val="21"/>
        </w:rPr>
      </w:pPr>
      <w:r>
        <w:rPr>
          <w:rFonts w:hint="eastAsia" w:ascii="宋体" w:hAnsi="宋体" w:cs="宋体"/>
          <w:color w:val="auto"/>
          <w:szCs w:val="21"/>
        </w:rPr>
        <w:t>2.4.3具体、明确的质疑事项和与质疑事项相关的请求；</w:t>
      </w:r>
    </w:p>
    <w:p w14:paraId="5B9738A0">
      <w:pPr>
        <w:spacing w:line="360" w:lineRule="auto"/>
        <w:ind w:firstLine="420" w:firstLineChars="200"/>
        <w:rPr>
          <w:rFonts w:ascii="宋体" w:hAnsi="宋体" w:cs="宋体"/>
          <w:color w:val="auto"/>
          <w:szCs w:val="21"/>
        </w:rPr>
      </w:pPr>
      <w:r>
        <w:rPr>
          <w:rFonts w:hint="eastAsia" w:ascii="宋体" w:hAnsi="宋体" w:cs="宋体"/>
          <w:color w:val="auto"/>
          <w:szCs w:val="21"/>
        </w:rPr>
        <w:t>2.4.4事实依据；</w:t>
      </w:r>
    </w:p>
    <w:p w14:paraId="0A728DFE">
      <w:pPr>
        <w:spacing w:line="360" w:lineRule="auto"/>
        <w:ind w:firstLine="420" w:firstLineChars="200"/>
        <w:rPr>
          <w:rFonts w:ascii="宋体" w:hAnsi="宋体" w:cs="宋体"/>
          <w:color w:val="auto"/>
          <w:szCs w:val="21"/>
        </w:rPr>
      </w:pPr>
      <w:r>
        <w:rPr>
          <w:rFonts w:hint="eastAsia" w:ascii="宋体" w:hAnsi="宋体" w:cs="宋体"/>
          <w:color w:val="auto"/>
          <w:szCs w:val="21"/>
        </w:rPr>
        <w:t>2.4.5必要的法律依据；</w:t>
      </w:r>
    </w:p>
    <w:p w14:paraId="468D0D2F">
      <w:pPr>
        <w:spacing w:line="360" w:lineRule="auto"/>
        <w:ind w:firstLine="420" w:firstLineChars="200"/>
        <w:rPr>
          <w:rFonts w:ascii="宋体" w:hAnsi="宋体" w:cs="宋体"/>
          <w:color w:val="auto"/>
          <w:szCs w:val="21"/>
        </w:rPr>
      </w:pPr>
      <w:r>
        <w:rPr>
          <w:rFonts w:hint="eastAsia" w:ascii="宋体" w:hAnsi="宋体" w:cs="宋体"/>
          <w:color w:val="auto"/>
          <w:szCs w:val="21"/>
        </w:rPr>
        <w:t>2.4.6提出质疑的日期。</w:t>
      </w:r>
    </w:p>
    <w:p w14:paraId="353899E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质疑函应当署名：质疑人为自然人的，应当由本人签字并附有效身份证明；质疑人为法人或者其他组织的，应当由法定代表人签字并加盖单位公章。质疑人委托代理质疑的，应当向代理机构提交授权委托书，并载明委托代理的具体权限和事项。</w:t>
      </w:r>
    </w:p>
    <w:p w14:paraId="193625D7">
      <w:pPr>
        <w:spacing w:line="360" w:lineRule="auto"/>
        <w:ind w:firstLine="420" w:firstLineChars="200"/>
        <w:rPr>
          <w:rFonts w:ascii="宋体" w:hAnsi="宋体" w:cs="宋体"/>
          <w:snapToGrid w:val="0"/>
          <w:color w:val="auto"/>
          <w:szCs w:val="21"/>
        </w:rPr>
      </w:pPr>
      <w:r>
        <w:rPr>
          <w:rFonts w:hint="eastAsia" w:ascii="宋体" w:hAnsi="宋体" w:cs="宋体"/>
          <w:snapToGrid w:val="0"/>
          <w:color w:val="auto"/>
          <w:szCs w:val="21"/>
        </w:rPr>
        <w:t>《质疑函》及《授权委托书》格式见网址：http://zfcg.yangzhou.gov.cn</w:t>
      </w:r>
    </w:p>
    <w:p w14:paraId="19D9A4A1">
      <w:pPr>
        <w:spacing w:line="360" w:lineRule="auto"/>
        <w:ind w:firstLine="420" w:firstLineChars="200"/>
        <w:rPr>
          <w:rFonts w:ascii="宋体" w:hAnsi="宋体" w:cs="宋体"/>
          <w:color w:val="auto"/>
          <w:szCs w:val="21"/>
        </w:rPr>
      </w:pPr>
      <w:r>
        <w:rPr>
          <w:rFonts w:hint="eastAsia" w:ascii="宋体" w:hAnsi="宋体" w:cs="宋体"/>
          <w:color w:val="auto"/>
          <w:szCs w:val="21"/>
        </w:rPr>
        <w:t>2.5代理机构收到质疑申请后，将对质疑的形式和内容进行审查，如质疑函内容、格式不符合规定，代理机构将告知质疑人进行补正。</w:t>
      </w:r>
    </w:p>
    <w:p w14:paraId="22F587BE">
      <w:pPr>
        <w:spacing w:line="360" w:lineRule="auto"/>
        <w:ind w:firstLine="420" w:firstLineChars="200"/>
        <w:rPr>
          <w:rFonts w:ascii="宋体" w:hAnsi="宋体" w:cs="宋体"/>
          <w:color w:val="auto"/>
          <w:szCs w:val="21"/>
        </w:rPr>
      </w:pPr>
      <w:r>
        <w:rPr>
          <w:rFonts w:hint="eastAsia" w:ascii="宋体" w:hAnsi="宋体" w:cs="宋体"/>
          <w:color w:val="auto"/>
          <w:szCs w:val="21"/>
        </w:rPr>
        <w:t>2.6质疑人应当在法定质疑期限内进行补正并重新提交质疑函，拒不补正或者在法定期限内未重新提交质疑函的，为无效质疑，代理机构有权不予受理。</w:t>
      </w:r>
    </w:p>
    <w:p w14:paraId="19389F66">
      <w:pPr>
        <w:spacing w:line="360" w:lineRule="auto"/>
        <w:ind w:firstLine="420" w:firstLineChars="200"/>
        <w:rPr>
          <w:rFonts w:ascii="宋体" w:hAnsi="宋体" w:cs="宋体"/>
          <w:color w:val="auto"/>
          <w:szCs w:val="21"/>
        </w:rPr>
      </w:pPr>
      <w:r>
        <w:rPr>
          <w:rFonts w:hint="eastAsia" w:ascii="宋体" w:hAnsi="宋体" w:cs="宋体"/>
          <w:color w:val="auto"/>
          <w:szCs w:val="21"/>
        </w:rPr>
        <w:t>2.7对于内容、格式符合规定的质疑函，代理机构将在收到参加磋商供应商的书面质疑后七个工作日内作出答复，并以书面形式通知质疑供应商和其他相关供应商，答复的内容不涉及商业秘密。</w:t>
      </w:r>
    </w:p>
    <w:p w14:paraId="0308D220">
      <w:pPr>
        <w:spacing w:line="360" w:lineRule="auto"/>
        <w:ind w:firstLine="420" w:firstLineChars="200"/>
        <w:rPr>
          <w:rFonts w:ascii="宋体" w:hAnsi="宋体" w:cs="宋体"/>
          <w:color w:val="auto"/>
          <w:szCs w:val="21"/>
        </w:rPr>
      </w:pPr>
      <w:r>
        <w:rPr>
          <w:rFonts w:hint="eastAsia" w:ascii="宋体" w:hAnsi="宋体" w:cs="宋体"/>
          <w:color w:val="auto"/>
          <w:szCs w:val="21"/>
        </w:rPr>
        <w:t>2.8供应商提出书面质疑必须有理、有据，不得恶意质疑或提交虚假质疑。否则，一经查实，代理机构有权依据有关规定，报请监管部门对该供应商进行相应的行政处罚。</w:t>
      </w:r>
    </w:p>
    <w:p w14:paraId="2E78A523">
      <w:pPr>
        <w:spacing w:line="360" w:lineRule="auto"/>
        <w:ind w:firstLine="420" w:firstLineChars="200"/>
        <w:rPr>
          <w:rFonts w:ascii="宋体" w:hAnsi="宋体" w:cs="宋体"/>
          <w:color w:val="auto"/>
          <w:szCs w:val="21"/>
        </w:rPr>
      </w:pPr>
      <w:r>
        <w:rPr>
          <w:rFonts w:hint="eastAsia" w:ascii="宋体" w:hAnsi="宋体" w:cs="宋体"/>
          <w:color w:val="auto"/>
          <w:szCs w:val="21"/>
        </w:rPr>
        <w:t>2.9诚实信用</w:t>
      </w:r>
    </w:p>
    <w:p w14:paraId="660D4DC1">
      <w:pPr>
        <w:spacing w:line="360" w:lineRule="auto"/>
        <w:ind w:firstLine="420" w:firstLineChars="200"/>
        <w:rPr>
          <w:rFonts w:ascii="宋体" w:hAnsi="宋体" w:cs="宋体"/>
          <w:color w:val="auto"/>
          <w:szCs w:val="21"/>
        </w:rPr>
      </w:pPr>
      <w:r>
        <w:rPr>
          <w:rFonts w:hint="eastAsia" w:ascii="宋体" w:hAnsi="宋体" w:cs="宋体"/>
          <w:color w:val="auto"/>
          <w:szCs w:val="21"/>
        </w:rPr>
        <w:t>2.9.1 供应商之间不得相互串通投标</w:t>
      </w:r>
      <w:r>
        <w:rPr>
          <w:rFonts w:hint="eastAsia" w:ascii="宋体" w:hAnsi="宋体" w:cs="宋体"/>
          <w:bCs/>
          <w:color w:val="auto"/>
          <w:szCs w:val="21"/>
        </w:rPr>
        <w:t>（响应）</w:t>
      </w:r>
      <w:r>
        <w:rPr>
          <w:rFonts w:hint="eastAsia" w:ascii="宋体" w:hAnsi="宋体" w:cs="宋体"/>
          <w:color w:val="auto"/>
          <w:szCs w:val="21"/>
        </w:rPr>
        <w:t>报价，不得妨碍其他供应商的公平竞争，不得损害采购人和其他供应商的合法权益。</w:t>
      </w:r>
    </w:p>
    <w:p w14:paraId="63535137">
      <w:pPr>
        <w:spacing w:line="360" w:lineRule="auto"/>
        <w:ind w:firstLine="420" w:firstLineChars="200"/>
        <w:rPr>
          <w:rFonts w:ascii="宋体" w:hAnsi="宋体" w:cs="宋体"/>
          <w:color w:val="auto"/>
          <w:szCs w:val="21"/>
        </w:rPr>
      </w:pPr>
      <w:r>
        <w:rPr>
          <w:rFonts w:hint="eastAsia" w:ascii="宋体" w:hAnsi="宋体" w:cs="宋体"/>
          <w:color w:val="auto"/>
          <w:szCs w:val="21"/>
        </w:rPr>
        <w:t>2.9.2 供应商不得以向代理机构工作人员、评标委员会成员行贿或者采取其他不正当手段谋取中标。经查实供应商有此行为的，管理部门将供应商列入不良行为记录名单，按照《中华人民共和国政府采购法》有关规定处理。</w:t>
      </w:r>
    </w:p>
    <w:p w14:paraId="74044020">
      <w:pPr>
        <w:spacing w:line="360" w:lineRule="auto"/>
        <w:ind w:firstLine="420" w:firstLineChars="200"/>
        <w:rPr>
          <w:rFonts w:ascii="宋体" w:hAnsi="宋体" w:cs="宋体"/>
          <w:color w:val="auto"/>
          <w:szCs w:val="21"/>
        </w:rPr>
      </w:pPr>
      <w:r>
        <w:rPr>
          <w:rFonts w:hint="eastAsia" w:ascii="宋体" w:hAnsi="宋体" w:cs="宋体"/>
          <w:color w:val="auto"/>
          <w:szCs w:val="21"/>
        </w:rPr>
        <w:t>2.9.3 供应商提出书面质疑必须有理、有据，不得虚假质疑和恶意质疑，并对质疑内容的真实性承担责任。一经查实，代理机构有权依据有关规定，报请监管部门对该供应商进行相应的行政处罚并在网站上予以公示。如果供应商或者其他利害关系人通过捏造事实、伪造证明材料等方式质疑，干扰采购活动正常进行的，属于严重不良行为，代理机构将提请监管部门将其列入不良行为记录名单，并依法予以处罚。</w:t>
      </w:r>
    </w:p>
    <w:p w14:paraId="4932EF93">
      <w:pPr>
        <w:spacing w:line="360" w:lineRule="auto"/>
        <w:ind w:firstLine="420" w:firstLineChars="200"/>
        <w:rPr>
          <w:rFonts w:ascii="宋体" w:hAnsi="宋体" w:cs="宋体"/>
          <w:color w:val="auto"/>
          <w:szCs w:val="21"/>
        </w:rPr>
      </w:pPr>
      <w:r>
        <w:rPr>
          <w:rFonts w:hint="eastAsia" w:ascii="宋体" w:hAnsi="宋体" w:cs="宋体"/>
          <w:color w:val="auto"/>
          <w:szCs w:val="21"/>
        </w:rPr>
        <w:t>2.9.4 供应商不得虚假承诺，否则，按照提供虚假材料谋取中标成交处理。</w:t>
      </w:r>
    </w:p>
    <w:p w14:paraId="5A1FDC40">
      <w:pPr>
        <w:spacing w:line="360" w:lineRule="auto"/>
        <w:ind w:firstLine="420" w:firstLineChars="200"/>
        <w:rPr>
          <w:rFonts w:ascii="宋体" w:hAnsi="宋体" w:cs="宋体"/>
          <w:color w:val="auto"/>
          <w:szCs w:val="21"/>
        </w:rPr>
      </w:pPr>
      <w:r>
        <w:rPr>
          <w:rFonts w:hint="eastAsia" w:ascii="宋体" w:hAnsi="宋体" w:cs="宋体"/>
          <w:color w:val="auto"/>
          <w:szCs w:val="21"/>
        </w:rPr>
        <w:t>2.9.5 供应商应自觉遵守开标、评标纪律，扰乱开标评标现场秩序的，属于失信行为，根据《江苏省政府采购供应商监督管理暂行办法》，失信行为将被记入供应商诚信档案。</w:t>
      </w:r>
    </w:p>
    <w:p w14:paraId="7C962398">
      <w:pPr>
        <w:tabs>
          <w:tab w:val="left" w:pos="900"/>
        </w:tabs>
        <w:spacing w:line="360" w:lineRule="auto"/>
        <w:ind w:firstLine="422" w:firstLineChars="200"/>
        <w:rPr>
          <w:rFonts w:ascii="宋体" w:hAnsi="宋体" w:cs="宋体"/>
          <w:b/>
          <w:color w:val="auto"/>
          <w:szCs w:val="21"/>
        </w:rPr>
      </w:pPr>
      <w:r>
        <w:rPr>
          <w:rFonts w:hint="eastAsia" w:ascii="宋体" w:hAnsi="宋体" w:cs="宋体"/>
          <w:b/>
          <w:color w:val="auto"/>
          <w:szCs w:val="21"/>
        </w:rPr>
        <w:t>六、合同签订相关事项</w:t>
      </w:r>
    </w:p>
    <w:p w14:paraId="24029327">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1.签订合同</w:t>
      </w:r>
    </w:p>
    <w:p w14:paraId="62E5CA8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l成交供应商确定后，代理机构将向成交供应商发出成交通知书。成交供应商应按成交通知书规定的时间、地点，按照磋商文件确定的事项与采购人签订合同，且不得迟于成交通知书发出之日起三十日内，否则视为放弃，由此给采购人造成损失的，成交供应商还应承担赔偿责任。</w:t>
      </w:r>
    </w:p>
    <w:p w14:paraId="20842A0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1.2 磋商文件、成交供应商的响应文件及磋商采购过程中有关澄清、承诺文件均应作为合同附件。</w:t>
      </w:r>
    </w:p>
    <w:p w14:paraId="7F78C99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1.3 签订合同后，</w:t>
      </w:r>
      <w:r>
        <w:rPr>
          <w:rFonts w:hint="eastAsia" w:ascii="宋体" w:hAnsi="宋体" w:cs="宋体"/>
          <w:i/>
          <w:color w:val="auto"/>
          <w:szCs w:val="21"/>
          <w:u w:val="single"/>
        </w:rPr>
        <w:t>成交供应商不得将成交工程或服务进行转包。</w:t>
      </w:r>
      <w:r>
        <w:rPr>
          <w:rFonts w:hint="eastAsia" w:ascii="宋体" w:hAnsi="宋体" w:cs="宋体"/>
          <w:color w:val="auto"/>
          <w:szCs w:val="21"/>
        </w:rPr>
        <w:t>未经采购人同意，成交供应商也不得采用分包的形式履行合同，否则采购人有权终止合同。转包或分包造成采购人损失的，成交供应商应承担相应赔偿责任。</w:t>
      </w:r>
    </w:p>
    <w:p w14:paraId="5C83942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2.</w:t>
      </w:r>
      <w:r>
        <w:rPr>
          <w:rFonts w:hint="eastAsia" w:ascii="宋体" w:hAnsi="宋体" w:cs="宋体"/>
          <w:color w:val="auto"/>
          <w:szCs w:val="21"/>
        </w:rPr>
        <w:t>履约保证金：无</w:t>
      </w:r>
    </w:p>
    <w:p w14:paraId="4D77D266">
      <w:pPr>
        <w:pStyle w:val="2"/>
        <w:rPr>
          <w:bCs w:val="0"/>
          <w:color w:val="auto"/>
        </w:rPr>
      </w:pPr>
      <w:bookmarkStart w:id="102" w:name="_Toc29980"/>
      <w:bookmarkStart w:id="103" w:name="_Toc497145841"/>
      <w:bookmarkStart w:id="104" w:name="_Toc16389"/>
      <w:r>
        <w:rPr>
          <w:color w:val="auto"/>
        </w:rPr>
        <w:t>第三章 合同条款及格式</w:t>
      </w:r>
      <w:bookmarkEnd w:id="102"/>
      <w:bookmarkEnd w:id="103"/>
      <w:bookmarkEnd w:id="104"/>
      <w:bookmarkStart w:id="105" w:name="_Toc497145842"/>
    </w:p>
    <w:p w14:paraId="2789B1B8">
      <w:pPr>
        <w:spacing w:line="360" w:lineRule="auto"/>
        <w:jc w:val="center"/>
        <w:rPr>
          <w:rFonts w:ascii="宋体" w:hAnsi="宋体" w:cs="宋体"/>
          <w:color w:val="auto"/>
          <w:sz w:val="52"/>
          <w:szCs w:val="52"/>
        </w:rPr>
      </w:pPr>
      <w:bookmarkStart w:id="106" w:name="_Toc2329"/>
    </w:p>
    <w:p w14:paraId="68C1EF4A">
      <w:pPr>
        <w:spacing w:line="360" w:lineRule="auto"/>
        <w:jc w:val="center"/>
        <w:rPr>
          <w:rFonts w:ascii="宋体" w:hAnsi="宋体" w:cs="宋体"/>
          <w:color w:val="auto"/>
          <w:sz w:val="52"/>
          <w:szCs w:val="52"/>
        </w:rPr>
      </w:pPr>
    </w:p>
    <w:p w14:paraId="5D2BB70E">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工程咨询服务合同书</w:t>
      </w:r>
    </w:p>
    <w:p w14:paraId="5985F2C4">
      <w:pPr>
        <w:spacing w:line="360" w:lineRule="auto"/>
        <w:jc w:val="center"/>
        <w:rPr>
          <w:rFonts w:ascii="宋体" w:hAnsi="宋体" w:cs="宋体"/>
          <w:color w:val="auto"/>
          <w:sz w:val="32"/>
          <w:szCs w:val="32"/>
        </w:rPr>
      </w:pPr>
    </w:p>
    <w:tbl>
      <w:tblPr>
        <w:tblStyle w:val="30"/>
        <w:tblW w:w="0" w:type="auto"/>
        <w:tblInd w:w="13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1"/>
        <w:gridCol w:w="5009"/>
      </w:tblGrid>
      <w:tr w14:paraId="3F23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2101" w:type="dxa"/>
            <w:tcBorders>
              <w:top w:val="nil"/>
              <w:left w:val="nil"/>
              <w:bottom w:val="nil"/>
              <w:right w:val="nil"/>
            </w:tcBorders>
            <w:noWrap/>
            <w:vAlign w:val="bottom"/>
          </w:tcPr>
          <w:p w14:paraId="5A419FFD">
            <w:pPr>
              <w:pStyle w:val="91"/>
              <w:spacing w:line="360" w:lineRule="auto"/>
              <w:ind w:firstLine="0" w:firstLineChars="0"/>
              <w:jc w:val="left"/>
              <w:rPr>
                <w:rFonts w:ascii="宋体" w:hAnsi="宋体" w:cs="宋体"/>
                <w:color w:val="auto"/>
                <w:szCs w:val="28"/>
              </w:rPr>
            </w:pPr>
            <w:r>
              <w:rPr>
                <w:rFonts w:hint="eastAsia" w:ascii="宋体" w:hAnsi="宋体" w:cs="宋体"/>
                <w:color w:val="auto"/>
                <w:szCs w:val="28"/>
              </w:rPr>
              <w:t>工 程 名 称：</w:t>
            </w:r>
          </w:p>
        </w:tc>
        <w:tc>
          <w:tcPr>
            <w:tcW w:w="5009" w:type="dxa"/>
            <w:tcBorders>
              <w:top w:val="nil"/>
              <w:left w:val="nil"/>
              <w:right w:val="nil"/>
            </w:tcBorders>
            <w:noWrap/>
            <w:vAlign w:val="center"/>
          </w:tcPr>
          <w:p w14:paraId="04C8EA7D">
            <w:pPr>
              <w:pStyle w:val="91"/>
              <w:spacing w:line="360" w:lineRule="auto"/>
              <w:ind w:firstLine="560"/>
              <w:jc w:val="center"/>
              <w:rPr>
                <w:rFonts w:ascii="宋体" w:hAnsi="宋体" w:cs="宋体"/>
                <w:color w:val="auto"/>
                <w:szCs w:val="28"/>
              </w:rPr>
            </w:pPr>
          </w:p>
        </w:tc>
      </w:tr>
      <w:tr w14:paraId="7F8C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2101" w:type="dxa"/>
            <w:tcBorders>
              <w:top w:val="nil"/>
              <w:left w:val="nil"/>
              <w:bottom w:val="nil"/>
              <w:right w:val="nil"/>
            </w:tcBorders>
            <w:noWrap/>
            <w:vAlign w:val="bottom"/>
          </w:tcPr>
          <w:p w14:paraId="297C4310">
            <w:pPr>
              <w:pStyle w:val="91"/>
              <w:spacing w:line="360" w:lineRule="auto"/>
              <w:ind w:firstLine="0" w:firstLineChars="0"/>
              <w:jc w:val="left"/>
              <w:rPr>
                <w:rFonts w:ascii="宋体" w:hAnsi="宋体" w:cs="宋体"/>
                <w:color w:val="auto"/>
                <w:szCs w:val="28"/>
              </w:rPr>
            </w:pPr>
            <w:r>
              <w:rPr>
                <w:rFonts w:hint="eastAsia" w:ascii="宋体" w:hAnsi="宋体" w:cs="宋体"/>
                <w:color w:val="auto"/>
                <w:szCs w:val="28"/>
              </w:rPr>
              <w:t>工 程 地 点：</w:t>
            </w:r>
          </w:p>
        </w:tc>
        <w:tc>
          <w:tcPr>
            <w:tcW w:w="5009" w:type="dxa"/>
            <w:tcBorders>
              <w:left w:val="nil"/>
              <w:right w:val="nil"/>
            </w:tcBorders>
            <w:noWrap/>
            <w:vAlign w:val="center"/>
          </w:tcPr>
          <w:p w14:paraId="4AB35445">
            <w:pPr>
              <w:pStyle w:val="91"/>
              <w:spacing w:line="360" w:lineRule="auto"/>
              <w:ind w:firstLine="560"/>
              <w:jc w:val="center"/>
              <w:rPr>
                <w:rFonts w:ascii="宋体" w:hAnsi="宋体" w:cs="宋体"/>
                <w:color w:val="auto"/>
                <w:szCs w:val="28"/>
              </w:rPr>
            </w:pPr>
          </w:p>
        </w:tc>
      </w:tr>
      <w:tr w14:paraId="46FD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2101" w:type="dxa"/>
            <w:tcBorders>
              <w:top w:val="nil"/>
              <w:left w:val="nil"/>
              <w:bottom w:val="nil"/>
              <w:right w:val="nil"/>
            </w:tcBorders>
            <w:noWrap/>
            <w:vAlign w:val="bottom"/>
          </w:tcPr>
          <w:p w14:paraId="0DD01497">
            <w:pPr>
              <w:pStyle w:val="91"/>
              <w:spacing w:line="360" w:lineRule="auto"/>
              <w:ind w:firstLine="0" w:firstLineChars="0"/>
              <w:jc w:val="left"/>
              <w:rPr>
                <w:rFonts w:ascii="宋体" w:hAnsi="宋体" w:cs="宋体"/>
                <w:color w:val="auto"/>
                <w:szCs w:val="28"/>
              </w:rPr>
            </w:pPr>
            <w:r>
              <w:rPr>
                <w:rFonts w:hint="eastAsia" w:ascii="宋体" w:hAnsi="宋体" w:cs="宋体"/>
                <w:color w:val="auto"/>
                <w:szCs w:val="28"/>
              </w:rPr>
              <w:t>委 托 人：</w:t>
            </w:r>
          </w:p>
        </w:tc>
        <w:tc>
          <w:tcPr>
            <w:tcW w:w="5009" w:type="dxa"/>
            <w:tcBorders>
              <w:left w:val="nil"/>
              <w:right w:val="nil"/>
            </w:tcBorders>
            <w:noWrap/>
            <w:vAlign w:val="center"/>
          </w:tcPr>
          <w:p w14:paraId="7DEF38BD">
            <w:pPr>
              <w:pStyle w:val="91"/>
              <w:spacing w:line="360" w:lineRule="auto"/>
              <w:ind w:firstLine="560"/>
              <w:jc w:val="center"/>
              <w:rPr>
                <w:rFonts w:ascii="宋体" w:hAnsi="宋体" w:cs="宋体"/>
                <w:color w:val="auto"/>
                <w:szCs w:val="28"/>
              </w:rPr>
            </w:pPr>
          </w:p>
        </w:tc>
      </w:tr>
      <w:tr w14:paraId="489F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2101" w:type="dxa"/>
            <w:tcBorders>
              <w:top w:val="nil"/>
              <w:left w:val="nil"/>
              <w:bottom w:val="nil"/>
              <w:right w:val="nil"/>
            </w:tcBorders>
            <w:noWrap/>
            <w:vAlign w:val="bottom"/>
          </w:tcPr>
          <w:p w14:paraId="6D13FD03">
            <w:pPr>
              <w:pStyle w:val="91"/>
              <w:spacing w:line="360" w:lineRule="auto"/>
              <w:ind w:firstLine="0" w:firstLineChars="0"/>
              <w:jc w:val="left"/>
              <w:rPr>
                <w:rFonts w:ascii="宋体" w:hAnsi="宋体" w:cs="宋体"/>
                <w:color w:val="auto"/>
                <w:szCs w:val="28"/>
              </w:rPr>
            </w:pPr>
            <w:r>
              <w:rPr>
                <w:rFonts w:hint="eastAsia" w:ascii="宋体" w:hAnsi="宋体" w:cs="宋体"/>
                <w:color w:val="auto"/>
                <w:szCs w:val="28"/>
              </w:rPr>
              <w:t>受 托 人：</w:t>
            </w:r>
          </w:p>
        </w:tc>
        <w:tc>
          <w:tcPr>
            <w:tcW w:w="5009" w:type="dxa"/>
            <w:tcBorders>
              <w:left w:val="nil"/>
              <w:right w:val="nil"/>
            </w:tcBorders>
            <w:noWrap/>
            <w:vAlign w:val="center"/>
          </w:tcPr>
          <w:p w14:paraId="42AC6D85">
            <w:pPr>
              <w:pStyle w:val="91"/>
              <w:spacing w:line="360" w:lineRule="auto"/>
              <w:ind w:firstLine="560"/>
              <w:jc w:val="center"/>
              <w:rPr>
                <w:rFonts w:ascii="宋体" w:hAnsi="宋体" w:cs="宋体"/>
                <w:color w:val="auto"/>
                <w:szCs w:val="28"/>
              </w:rPr>
            </w:pPr>
          </w:p>
        </w:tc>
      </w:tr>
      <w:tr w14:paraId="6FC5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2101" w:type="dxa"/>
            <w:tcBorders>
              <w:top w:val="nil"/>
              <w:left w:val="nil"/>
              <w:bottom w:val="nil"/>
              <w:right w:val="nil"/>
            </w:tcBorders>
            <w:noWrap/>
            <w:vAlign w:val="bottom"/>
          </w:tcPr>
          <w:p w14:paraId="07B29037">
            <w:pPr>
              <w:pStyle w:val="91"/>
              <w:spacing w:line="360" w:lineRule="auto"/>
              <w:ind w:firstLine="0" w:firstLineChars="0"/>
              <w:jc w:val="left"/>
              <w:rPr>
                <w:rFonts w:ascii="宋体" w:hAnsi="宋体" w:cs="宋体"/>
                <w:color w:val="auto"/>
                <w:szCs w:val="28"/>
              </w:rPr>
            </w:pPr>
            <w:r>
              <w:rPr>
                <w:rFonts w:hint="eastAsia" w:ascii="宋体" w:hAnsi="宋体" w:cs="宋体"/>
                <w:color w:val="auto"/>
                <w:szCs w:val="28"/>
              </w:rPr>
              <w:t>签 订 日 期：</w:t>
            </w:r>
          </w:p>
        </w:tc>
        <w:tc>
          <w:tcPr>
            <w:tcW w:w="5009" w:type="dxa"/>
            <w:tcBorders>
              <w:left w:val="nil"/>
              <w:right w:val="nil"/>
            </w:tcBorders>
            <w:noWrap/>
            <w:vAlign w:val="center"/>
          </w:tcPr>
          <w:p w14:paraId="6511DD83">
            <w:pPr>
              <w:pStyle w:val="91"/>
              <w:spacing w:line="360" w:lineRule="auto"/>
              <w:ind w:firstLine="560"/>
              <w:jc w:val="center"/>
              <w:rPr>
                <w:rFonts w:ascii="宋体" w:hAnsi="宋体" w:cs="宋体"/>
                <w:color w:val="auto"/>
                <w:szCs w:val="28"/>
              </w:rPr>
            </w:pPr>
            <w:r>
              <w:rPr>
                <w:rFonts w:hint="eastAsia" w:ascii="宋体" w:hAnsi="宋体" w:cs="宋体"/>
                <w:color w:val="auto"/>
                <w:szCs w:val="28"/>
              </w:rPr>
              <w:t>年    月    日</w:t>
            </w:r>
          </w:p>
        </w:tc>
      </w:tr>
    </w:tbl>
    <w:p w14:paraId="084960E7">
      <w:pPr>
        <w:tabs>
          <w:tab w:val="right" w:pos="8312"/>
        </w:tabs>
        <w:spacing w:line="720" w:lineRule="auto"/>
        <w:ind w:firstLine="800" w:firstLineChars="250"/>
        <w:rPr>
          <w:rFonts w:ascii="宋体" w:hAnsi="宋体" w:cs="宋体"/>
          <w:color w:val="auto"/>
          <w:sz w:val="32"/>
          <w:szCs w:val="32"/>
        </w:rPr>
      </w:pPr>
    </w:p>
    <w:p w14:paraId="65519391">
      <w:pPr>
        <w:pStyle w:val="25"/>
        <w:spacing w:before="0" w:beforeAutospacing="0" w:after="0" w:afterAutospacing="0" w:line="360" w:lineRule="auto"/>
        <w:rPr>
          <w:color w:val="auto"/>
          <w:szCs w:val="24"/>
        </w:rPr>
      </w:pPr>
    </w:p>
    <w:p w14:paraId="58DE2CF3">
      <w:pPr>
        <w:pStyle w:val="25"/>
        <w:spacing w:before="0" w:beforeAutospacing="0" w:after="0" w:afterAutospacing="0" w:line="360" w:lineRule="auto"/>
        <w:rPr>
          <w:color w:val="auto"/>
          <w:szCs w:val="24"/>
        </w:rPr>
      </w:pPr>
    </w:p>
    <w:p w14:paraId="3324E5CE">
      <w:pPr>
        <w:pStyle w:val="25"/>
        <w:spacing w:before="0" w:beforeAutospacing="0" w:after="0" w:afterAutospacing="0" w:line="360" w:lineRule="auto"/>
        <w:rPr>
          <w:color w:val="auto"/>
          <w:szCs w:val="24"/>
        </w:rPr>
      </w:pPr>
    </w:p>
    <w:p w14:paraId="068E19E4">
      <w:pPr>
        <w:pStyle w:val="25"/>
        <w:spacing w:before="0" w:beforeAutospacing="0" w:after="0" w:afterAutospacing="0" w:line="360" w:lineRule="auto"/>
        <w:rPr>
          <w:color w:val="auto"/>
          <w:szCs w:val="24"/>
        </w:rPr>
      </w:pPr>
    </w:p>
    <w:p w14:paraId="1162F084">
      <w:pPr>
        <w:pStyle w:val="25"/>
        <w:spacing w:before="0" w:beforeAutospacing="0" w:after="0" w:afterAutospacing="0" w:line="360" w:lineRule="auto"/>
        <w:rPr>
          <w:color w:val="auto"/>
          <w:szCs w:val="24"/>
        </w:rPr>
      </w:pPr>
    </w:p>
    <w:p w14:paraId="46C54DB2">
      <w:pPr>
        <w:pStyle w:val="25"/>
        <w:spacing w:before="0" w:beforeAutospacing="0" w:after="0" w:afterAutospacing="0" w:line="360" w:lineRule="auto"/>
        <w:rPr>
          <w:color w:val="auto"/>
          <w:szCs w:val="24"/>
        </w:rPr>
      </w:pPr>
    </w:p>
    <w:p w14:paraId="7C35B0BF">
      <w:pPr>
        <w:pStyle w:val="25"/>
        <w:spacing w:before="0" w:beforeAutospacing="0" w:after="0" w:afterAutospacing="0" w:line="360" w:lineRule="auto"/>
        <w:rPr>
          <w:color w:val="auto"/>
          <w:szCs w:val="24"/>
        </w:rPr>
      </w:pPr>
    </w:p>
    <w:p w14:paraId="6DFBFAE2">
      <w:pPr>
        <w:pStyle w:val="25"/>
        <w:spacing w:before="0" w:beforeAutospacing="0" w:after="0" w:afterAutospacing="0" w:line="360" w:lineRule="auto"/>
        <w:rPr>
          <w:color w:val="auto"/>
          <w:szCs w:val="24"/>
        </w:rPr>
      </w:pPr>
    </w:p>
    <w:p w14:paraId="0EFEB518">
      <w:pPr>
        <w:spacing w:line="360" w:lineRule="auto"/>
        <w:ind w:firstLine="420" w:firstLineChars="200"/>
        <w:rPr>
          <w:rFonts w:ascii="宋体" w:hAnsi="宋体" w:cs="宋体"/>
          <w:color w:val="auto"/>
        </w:rPr>
      </w:pPr>
      <w:r>
        <w:rPr>
          <w:rFonts w:hint="eastAsia" w:ascii="宋体" w:hAnsi="宋体" w:cs="宋体"/>
          <w:color w:val="auto"/>
        </w:rPr>
        <w:t>甲方（委托人）：</w:t>
      </w:r>
      <w:r>
        <w:rPr>
          <w:rFonts w:hint="eastAsia" w:ascii="宋体" w:hAnsi="宋体" w:cs="宋体"/>
          <w:color w:val="auto"/>
          <w:u w:val="single"/>
        </w:rPr>
        <w:t>扬州大学附属医院</w:t>
      </w:r>
    </w:p>
    <w:p w14:paraId="31E34BCE">
      <w:pPr>
        <w:spacing w:line="360" w:lineRule="auto"/>
        <w:ind w:firstLine="420" w:firstLineChars="200"/>
        <w:rPr>
          <w:rFonts w:ascii="宋体" w:hAnsi="宋体" w:cs="宋体"/>
          <w:color w:val="auto"/>
          <w:u w:val="single"/>
        </w:rPr>
      </w:pPr>
      <w:r>
        <w:rPr>
          <w:rFonts w:hint="eastAsia" w:ascii="宋体" w:hAnsi="宋体" w:cs="宋体"/>
          <w:color w:val="auto"/>
        </w:rPr>
        <w:t>乙方（受</w:t>
      </w:r>
      <w:bookmarkStart w:id="107" w:name="_Hlt221541261"/>
      <w:r>
        <w:rPr>
          <w:rFonts w:hint="eastAsia" w:ascii="宋体" w:hAnsi="宋体" w:cs="宋体"/>
          <w:color w:val="auto"/>
        </w:rPr>
        <w:t>托</w:t>
      </w:r>
      <w:bookmarkEnd w:id="107"/>
      <w:r>
        <w:rPr>
          <w:rFonts w:hint="eastAsia" w:ascii="宋体" w:hAnsi="宋体" w:cs="宋体"/>
          <w:color w:val="auto"/>
        </w:rPr>
        <w:t>人）：</w:t>
      </w:r>
      <w:r>
        <w:rPr>
          <w:rFonts w:hint="eastAsia" w:ascii="宋体" w:hAnsi="宋体" w:cs="宋体"/>
          <w:color w:val="auto"/>
          <w:u w:val="single"/>
        </w:rPr>
        <w:t>　　　　　　</w:t>
      </w:r>
    </w:p>
    <w:p w14:paraId="4DD240BB">
      <w:pPr>
        <w:spacing w:line="360" w:lineRule="auto"/>
        <w:ind w:firstLine="420" w:firstLineChars="200"/>
        <w:rPr>
          <w:rFonts w:ascii="宋体" w:hAnsi="宋体" w:cs="宋体"/>
          <w:color w:val="auto"/>
        </w:rPr>
      </w:pPr>
      <w:r>
        <w:rPr>
          <w:rFonts w:hint="eastAsia" w:ascii="宋体" w:hAnsi="宋体" w:cs="宋体"/>
          <w:color w:val="auto"/>
        </w:rPr>
        <w:t>　</w:t>
      </w:r>
      <w:r>
        <w:rPr>
          <w:rFonts w:hint="eastAsia" w:ascii="宋体" w:hAnsi="宋体" w:cs="宋体"/>
          <w:color w:val="auto"/>
          <w:u w:val="single"/>
        </w:rPr>
        <w:t>　　　　　　</w:t>
      </w:r>
      <w:r>
        <w:rPr>
          <w:rFonts w:hint="eastAsia" w:ascii="宋体" w:hAnsi="宋体" w:cs="宋体"/>
          <w:color w:val="auto"/>
        </w:rPr>
        <w:t>（以下称甲方）委托</w:t>
      </w:r>
      <w:r>
        <w:rPr>
          <w:rFonts w:hint="eastAsia" w:ascii="宋体" w:hAnsi="宋体" w:cs="宋体"/>
          <w:color w:val="auto"/>
          <w:u w:val="single"/>
        </w:rPr>
        <w:t>　　　　　　</w:t>
      </w:r>
      <w:r>
        <w:rPr>
          <w:rFonts w:hint="eastAsia" w:ascii="宋体" w:hAnsi="宋体" w:cs="宋体"/>
          <w:color w:val="auto"/>
        </w:rPr>
        <w:t>（以下称乙方）进行</w:t>
      </w:r>
      <w:r>
        <w:rPr>
          <w:rFonts w:hint="eastAsia" w:ascii="宋体" w:hAnsi="宋体" w:cs="宋体"/>
          <w:color w:val="auto"/>
          <w:u w:val="single"/>
        </w:rPr>
        <w:t>扬州大学附属医院住院入口（服务大厅）扩建项目、门诊楼扩建项目、既有建筑改造项目、病房改造提升项目建议书及可行性研究报告编制</w:t>
      </w:r>
      <w:r>
        <w:rPr>
          <w:rFonts w:hint="eastAsia" w:ascii="宋体" w:hAnsi="宋体" w:cs="宋体"/>
          <w:color w:val="auto"/>
        </w:rPr>
        <w:t>工作。为明确双方的权利和义务，依据《中华人民共和国民法典》等有关法律法规和主管部门等有关规定，甲乙双方经协商一致，订立本合同，共同遵守。</w:t>
      </w:r>
    </w:p>
    <w:p w14:paraId="2FD78553">
      <w:pPr>
        <w:spacing w:line="360" w:lineRule="auto"/>
        <w:ind w:firstLine="422" w:firstLineChars="200"/>
        <w:rPr>
          <w:rFonts w:ascii="宋体" w:hAnsi="宋体" w:cs="宋体"/>
          <w:b/>
          <w:bCs/>
          <w:color w:val="auto"/>
        </w:rPr>
      </w:pPr>
      <w:r>
        <w:rPr>
          <w:rFonts w:hint="eastAsia" w:ascii="宋体" w:hAnsi="宋体" w:cs="宋体"/>
          <w:b/>
          <w:bCs/>
          <w:color w:val="auto"/>
        </w:rPr>
        <w:t>第一条 乙方工作的内容、要求和方式</w:t>
      </w:r>
    </w:p>
    <w:p w14:paraId="1B55E8C4">
      <w:pPr>
        <w:spacing w:line="360" w:lineRule="auto"/>
        <w:ind w:firstLine="420" w:firstLineChars="200"/>
        <w:rPr>
          <w:rFonts w:ascii="宋体" w:hAnsi="宋体" w:cs="宋体"/>
          <w:color w:val="auto"/>
        </w:rPr>
      </w:pPr>
      <w:r>
        <w:rPr>
          <w:rFonts w:hint="eastAsia" w:ascii="宋体" w:hAnsi="宋体" w:cs="宋体"/>
          <w:color w:val="auto"/>
        </w:rPr>
        <w:t>（一）工作内容</w:t>
      </w:r>
    </w:p>
    <w:p w14:paraId="0B3EA999">
      <w:pPr>
        <w:spacing w:line="360" w:lineRule="auto"/>
        <w:ind w:firstLine="420" w:firstLineChars="200"/>
        <w:rPr>
          <w:rFonts w:ascii="宋体" w:hAnsi="宋体" w:cs="宋体"/>
          <w:color w:val="auto"/>
        </w:rPr>
      </w:pPr>
      <w:r>
        <w:rPr>
          <w:rFonts w:hint="eastAsia" w:ascii="宋体" w:hAnsi="宋体" w:cs="宋体"/>
          <w:color w:val="auto"/>
        </w:rPr>
        <w:t>编制扬州大学附属医院住院入口（服务大厅）扩建项目、门诊楼扩建项目、既有建筑改造项目、病房改造提升项目《项目建议书、可行性研究报告》。</w:t>
      </w:r>
    </w:p>
    <w:p w14:paraId="78C68A23">
      <w:pPr>
        <w:spacing w:line="360" w:lineRule="auto"/>
        <w:ind w:firstLine="420" w:firstLineChars="200"/>
        <w:rPr>
          <w:rFonts w:ascii="宋体" w:hAnsi="宋体" w:cs="宋体"/>
          <w:color w:val="auto"/>
        </w:rPr>
      </w:pPr>
      <w:r>
        <w:rPr>
          <w:rFonts w:hint="eastAsia" w:ascii="宋体" w:hAnsi="宋体" w:cs="宋体"/>
          <w:color w:val="auto"/>
        </w:rPr>
        <w:t>（二）工作要求</w:t>
      </w:r>
    </w:p>
    <w:p w14:paraId="3AC8A1D3">
      <w:pPr>
        <w:spacing w:line="360" w:lineRule="auto"/>
        <w:ind w:firstLine="420" w:firstLineChars="200"/>
        <w:rPr>
          <w:rFonts w:ascii="宋体" w:hAnsi="宋体" w:cs="宋体"/>
          <w:color w:val="auto"/>
        </w:rPr>
      </w:pPr>
      <w:r>
        <w:rPr>
          <w:rFonts w:hint="eastAsia" w:ascii="宋体" w:hAnsi="宋体" w:cs="宋体"/>
          <w:color w:val="auto"/>
        </w:rPr>
        <w:t>《项目建议书、可行性研究报告》的内容和要求应符合并达到审批部门对编制项目建议书、可行性研究报告所要求的内容和深度。因乙方提交的《项目建议书、可行性研究报告》审批不通过时，由乙方负责免费修改，直至通过主管部门审批为止，并由乙方按照本合同第六条的有关约定承担</w:t>
      </w:r>
      <w:r>
        <w:rPr>
          <w:color w:val="auto"/>
        </w:rPr>
        <w:fldChar w:fldCharType="begin"/>
      </w:r>
      <w:r>
        <w:rPr>
          <w:color w:val="auto"/>
        </w:rPr>
        <w:instrText xml:space="preserve"> HYPERLINK "http://www.wenku1.com/so?s=5400272476022044305&amp;entry=1&amp;q=%E8%BF%9D%E7%BA%A6%E8%B4%A3%E4%BB%BB" \t "_blank" </w:instrText>
      </w:r>
      <w:r>
        <w:rPr>
          <w:color w:val="auto"/>
        </w:rPr>
        <w:fldChar w:fldCharType="separate"/>
      </w:r>
      <w:r>
        <w:rPr>
          <w:rFonts w:hint="eastAsia" w:ascii="宋体" w:hAnsi="宋体" w:cs="宋体"/>
          <w:color w:val="auto"/>
        </w:rPr>
        <w:t>违约责任</w:t>
      </w:r>
      <w:r>
        <w:rPr>
          <w:rFonts w:hint="eastAsia" w:ascii="宋体" w:hAnsi="宋体" w:cs="宋体"/>
          <w:color w:val="auto"/>
        </w:rPr>
        <w:fldChar w:fldCharType="end"/>
      </w:r>
      <w:r>
        <w:rPr>
          <w:rFonts w:hint="eastAsia" w:ascii="宋体" w:hAnsi="宋体" w:cs="宋体"/>
          <w:color w:val="auto"/>
        </w:rPr>
        <w:t>。</w:t>
      </w:r>
    </w:p>
    <w:p w14:paraId="61D3FD3F">
      <w:pPr>
        <w:spacing w:line="360" w:lineRule="auto"/>
        <w:ind w:firstLine="420" w:firstLineChars="200"/>
        <w:rPr>
          <w:rFonts w:ascii="宋体" w:hAnsi="宋体" w:cs="宋体"/>
          <w:color w:val="auto"/>
        </w:rPr>
      </w:pPr>
      <w:r>
        <w:rPr>
          <w:rFonts w:hint="eastAsia" w:ascii="宋体" w:hAnsi="宋体" w:cs="宋体"/>
          <w:color w:val="auto"/>
        </w:rPr>
        <w:t>（三）工作方式</w:t>
      </w:r>
    </w:p>
    <w:p w14:paraId="04841397">
      <w:pPr>
        <w:spacing w:line="360" w:lineRule="auto"/>
        <w:ind w:firstLine="420" w:firstLineChars="200"/>
        <w:rPr>
          <w:rFonts w:ascii="宋体" w:hAnsi="宋体" w:cs="宋体"/>
          <w:color w:val="auto"/>
        </w:rPr>
      </w:pPr>
      <w:r>
        <w:rPr>
          <w:rFonts w:hint="eastAsia" w:ascii="宋体" w:hAnsi="宋体" w:cs="宋体"/>
          <w:color w:val="auto"/>
        </w:rPr>
        <w:t>乙方按合同要求开展《项目建议书、可行性研究报告》编制工作，最终按约定向甲方交付正式纸质版成果（建议书、可研报告各 8 套），同时提交全套电子版资料（含可编辑源文件 + PDF 签章版）1 份。</w:t>
      </w:r>
    </w:p>
    <w:p w14:paraId="73971D13">
      <w:pPr>
        <w:spacing w:line="360" w:lineRule="auto"/>
        <w:ind w:firstLine="422" w:firstLineChars="200"/>
        <w:rPr>
          <w:rFonts w:ascii="宋体" w:hAnsi="宋体" w:cs="宋体"/>
          <w:b/>
          <w:bCs/>
          <w:color w:val="auto"/>
        </w:rPr>
      </w:pPr>
      <w:r>
        <w:rPr>
          <w:rFonts w:hint="eastAsia" w:ascii="宋体" w:hAnsi="宋体" w:cs="宋体"/>
          <w:b/>
          <w:bCs/>
          <w:color w:val="auto"/>
        </w:rPr>
        <w:t>第二条 工期要求</w:t>
      </w:r>
    </w:p>
    <w:p w14:paraId="0DEEFDE4">
      <w:pPr>
        <w:spacing w:line="360" w:lineRule="auto"/>
        <w:ind w:firstLine="420" w:firstLineChars="200"/>
        <w:rPr>
          <w:rFonts w:ascii="宋体" w:hAnsi="宋体" w:cs="宋体"/>
          <w:color w:val="auto"/>
        </w:rPr>
      </w:pPr>
      <w:r>
        <w:rPr>
          <w:rFonts w:hint="eastAsia" w:ascii="宋体" w:hAnsi="宋体" w:cs="宋体"/>
          <w:color w:val="auto"/>
        </w:rPr>
        <w:t>合同生效后乙方即刻启动资料搜集与前期筹备，收到甲方开工指令后10个日历天内完成全部项目建议书编制，15个日历天内完成可行性研究报告编制；乙方全程配合甲方、江苏省公建中心、省教育厅、省发改委开展评审答疑、文稿修改、项目上报工作，直至取得官方正式立项批复。</w:t>
      </w:r>
    </w:p>
    <w:p w14:paraId="12EB6792">
      <w:pPr>
        <w:spacing w:line="360" w:lineRule="auto"/>
        <w:ind w:firstLine="420" w:firstLineChars="200"/>
        <w:rPr>
          <w:rFonts w:ascii="宋体" w:hAnsi="宋体" w:cs="宋体"/>
          <w:color w:val="auto"/>
        </w:rPr>
      </w:pPr>
      <w:r>
        <w:rPr>
          <w:rFonts w:hint="eastAsia" w:ascii="宋体" w:hAnsi="宋体" w:cs="宋体"/>
          <w:color w:val="auto"/>
        </w:rPr>
        <w:t>乙方须根据时限要求细化分项工作计划，按需配置人力，保障各节点按期落地。</w:t>
      </w:r>
    </w:p>
    <w:p w14:paraId="37D487FA">
      <w:pPr>
        <w:spacing w:line="360" w:lineRule="auto"/>
        <w:ind w:firstLine="422" w:firstLineChars="200"/>
        <w:rPr>
          <w:rFonts w:ascii="宋体" w:hAnsi="宋体" w:cs="宋体"/>
          <w:b/>
          <w:bCs/>
          <w:color w:val="auto"/>
        </w:rPr>
      </w:pPr>
      <w:r>
        <w:rPr>
          <w:rFonts w:hint="eastAsia" w:ascii="宋体" w:hAnsi="宋体" w:cs="宋体"/>
          <w:b/>
          <w:bCs/>
          <w:color w:val="auto"/>
        </w:rPr>
        <w:t>第三条 为保证乙方及时、有效地进行编制工作，甲方应当向乙方提供以下协作事项：</w:t>
      </w:r>
    </w:p>
    <w:p w14:paraId="29E85385">
      <w:pPr>
        <w:spacing w:line="360" w:lineRule="auto"/>
        <w:ind w:firstLine="420" w:firstLineChars="200"/>
        <w:rPr>
          <w:rFonts w:ascii="宋体" w:hAnsi="宋体" w:cs="宋体"/>
          <w:color w:val="auto"/>
        </w:rPr>
      </w:pPr>
      <w:r>
        <w:rPr>
          <w:rFonts w:hint="eastAsia" w:ascii="宋体" w:hAnsi="宋体" w:cs="宋体"/>
          <w:color w:val="auto"/>
        </w:rPr>
        <w:t>（一）提供必需的有关技术、基础资料</w:t>
      </w:r>
    </w:p>
    <w:p w14:paraId="1F2ABB62">
      <w:pPr>
        <w:spacing w:line="360" w:lineRule="auto"/>
        <w:ind w:firstLine="420" w:firstLineChars="200"/>
        <w:rPr>
          <w:rFonts w:ascii="宋体" w:hAnsi="宋体" w:cs="宋体"/>
          <w:color w:val="auto"/>
        </w:rPr>
      </w:pPr>
      <w:r>
        <w:rPr>
          <w:rFonts w:hint="eastAsia" w:ascii="宋体" w:hAnsi="宋体" w:cs="宋体"/>
          <w:color w:val="auto"/>
        </w:rPr>
        <w:t>甲方应将所拥有的且是乙方编制《项目建议书、可行性研究报告》所必需的有关技术、基础资料及时提供给乙方。对于乙方以自身的专业知识对有关技术、基础资料的准确性所进行的核实工作，甲方应给予必要的协助。</w:t>
      </w:r>
    </w:p>
    <w:p w14:paraId="224B58A7">
      <w:pPr>
        <w:spacing w:line="360" w:lineRule="auto"/>
        <w:ind w:firstLine="420" w:firstLineChars="200"/>
        <w:rPr>
          <w:rFonts w:ascii="宋体" w:hAnsi="宋体" w:cs="宋体"/>
          <w:color w:val="auto"/>
        </w:rPr>
      </w:pPr>
      <w:r>
        <w:rPr>
          <w:rFonts w:hint="eastAsia" w:ascii="宋体" w:hAnsi="宋体" w:cs="宋体"/>
          <w:color w:val="auto"/>
        </w:rPr>
        <w:t>（二）提供相应的其他工作条件，主要包括：</w:t>
      </w:r>
    </w:p>
    <w:p w14:paraId="2AAD9EDB">
      <w:pPr>
        <w:spacing w:line="360" w:lineRule="auto"/>
        <w:ind w:firstLine="420" w:firstLineChars="200"/>
        <w:rPr>
          <w:rFonts w:ascii="宋体" w:hAnsi="宋体" w:cs="宋体"/>
          <w:color w:val="auto"/>
        </w:rPr>
      </w:pPr>
      <w:r>
        <w:rPr>
          <w:rFonts w:hint="eastAsia" w:ascii="宋体" w:hAnsi="宋体" w:cs="宋体"/>
          <w:color w:val="auto"/>
        </w:rPr>
        <w:t>1.指定联系人配合乙方工作；</w:t>
      </w:r>
    </w:p>
    <w:p w14:paraId="3448F45E">
      <w:pPr>
        <w:spacing w:line="360" w:lineRule="auto"/>
        <w:ind w:firstLine="420" w:firstLineChars="200"/>
        <w:rPr>
          <w:rFonts w:ascii="宋体" w:hAnsi="宋体" w:cs="宋体"/>
          <w:color w:val="auto"/>
        </w:rPr>
      </w:pPr>
      <w:r>
        <w:rPr>
          <w:rFonts w:hint="eastAsia" w:ascii="宋体" w:hAnsi="宋体" w:cs="宋体"/>
          <w:color w:val="auto"/>
        </w:rPr>
        <w:t>2.依照本合同约定支付乙方编制工作报酬。</w:t>
      </w:r>
    </w:p>
    <w:p w14:paraId="3A0A0803">
      <w:pPr>
        <w:spacing w:line="360" w:lineRule="auto"/>
        <w:ind w:firstLine="422" w:firstLineChars="200"/>
        <w:rPr>
          <w:rFonts w:ascii="宋体" w:hAnsi="宋体" w:cs="宋体"/>
          <w:b/>
          <w:bCs/>
          <w:color w:val="auto"/>
        </w:rPr>
      </w:pPr>
      <w:r>
        <w:rPr>
          <w:rFonts w:hint="eastAsia" w:ascii="宋体" w:hAnsi="宋体" w:cs="宋体"/>
          <w:b/>
          <w:bCs/>
          <w:color w:val="auto"/>
        </w:rPr>
        <w:t>第四条 编制工作成果的体现形式、验收标准</w:t>
      </w:r>
    </w:p>
    <w:p w14:paraId="18B58386">
      <w:pPr>
        <w:spacing w:line="360" w:lineRule="auto"/>
        <w:ind w:firstLine="420" w:firstLineChars="200"/>
        <w:rPr>
          <w:rFonts w:ascii="宋体" w:hAnsi="宋体" w:cs="宋体"/>
          <w:color w:val="auto"/>
        </w:rPr>
      </w:pPr>
      <w:r>
        <w:rPr>
          <w:rFonts w:hint="eastAsia" w:ascii="宋体" w:hAnsi="宋体" w:cs="宋体"/>
          <w:color w:val="auto"/>
        </w:rPr>
        <w:t>（一）编制工作成果的体现形式</w:t>
      </w:r>
    </w:p>
    <w:p w14:paraId="3F2D7963">
      <w:pPr>
        <w:spacing w:line="360" w:lineRule="auto"/>
        <w:ind w:firstLine="420" w:firstLineChars="200"/>
        <w:rPr>
          <w:rFonts w:ascii="宋体" w:hAnsi="宋体" w:cs="宋体"/>
          <w:color w:val="auto"/>
        </w:rPr>
      </w:pPr>
      <w:r>
        <w:rPr>
          <w:rFonts w:hint="eastAsia" w:ascii="宋体" w:hAnsi="宋体" w:cs="宋体"/>
          <w:color w:val="auto"/>
        </w:rPr>
        <w:t>乙方提交符合归档要求的《项目建议书、可行性研究报告》正式书面文本一式八份及全套电子版资料（含可编辑源文件+PDF签章版）一份。</w:t>
      </w:r>
    </w:p>
    <w:p w14:paraId="5B0240BD">
      <w:pPr>
        <w:spacing w:line="360" w:lineRule="auto"/>
        <w:ind w:firstLine="420" w:firstLineChars="200"/>
        <w:rPr>
          <w:rFonts w:ascii="宋体" w:hAnsi="宋体" w:cs="宋体"/>
          <w:color w:val="auto"/>
        </w:rPr>
      </w:pPr>
      <w:r>
        <w:rPr>
          <w:rFonts w:hint="eastAsia" w:ascii="宋体" w:hAnsi="宋体" w:cs="宋体"/>
          <w:color w:val="auto"/>
        </w:rPr>
        <w:t>（二）验收标准</w:t>
      </w:r>
    </w:p>
    <w:p w14:paraId="7434AF9A">
      <w:pPr>
        <w:spacing w:line="360" w:lineRule="auto"/>
        <w:ind w:firstLine="420" w:firstLineChars="200"/>
        <w:rPr>
          <w:rFonts w:ascii="宋体" w:hAnsi="宋体" w:cs="宋体"/>
          <w:color w:val="auto"/>
        </w:rPr>
      </w:pPr>
      <w:r>
        <w:rPr>
          <w:rFonts w:hint="eastAsia" w:ascii="宋体" w:hAnsi="宋体" w:cs="宋体"/>
          <w:color w:val="auto"/>
        </w:rPr>
        <w:t>获得官方正式立项批复。如因项目停建无法取得批复，验收标准可调整为甲方组织专家评审会通过验收或甲方书面确认报告符合验收要求。乙方应配合提供相关修改服务。</w:t>
      </w:r>
    </w:p>
    <w:p w14:paraId="03B2AE5C">
      <w:pPr>
        <w:spacing w:line="360" w:lineRule="auto"/>
        <w:ind w:firstLine="422" w:firstLineChars="200"/>
        <w:rPr>
          <w:rFonts w:ascii="宋体" w:hAnsi="宋体" w:cs="宋体"/>
          <w:b/>
          <w:bCs/>
          <w:color w:val="auto"/>
          <w:highlight w:val="none"/>
        </w:rPr>
      </w:pPr>
      <w:r>
        <w:rPr>
          <w:rFonts w:hint="eastAsia" w:ascii="宋体" w:hAnsi="宋体" w:cs="宋体"/>
          <w:b/>
          <w:bCs/>
          <w:color w:val="auto"/>
          <w:highlight w:val="none"/>
        </w:rPr>
        <w:t>第五条 合同价及其支付方式</w:t>
      </w:r>
    </w:p>
    <w:p w14:paraId="7318C5F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（一）合同计价方式</w:t>
      </w:r>
    </w:p>
    <w:p w14:paraId="2A8CD09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本项目的咨询服务费用采用单个项目固定总价结算方式。</w:t>
      </w:r>
    </w:p>
    <w:p w14:paraId="3B98830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（二）合同价</w:t>
      </w:r>
    </w:p>
    <w:p w14:paraId="1D8DC33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本合同的合同价为人民币元整（￥）。</w:t>
      </w:r>
    </w:p>
    <w:p w14:paraId="15EF18A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（三）支付期限和方式</w:t>
      </w:r>
    </w:p>
    <w:p w14:paraId="64DF6AB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以上约定的合同价由甲方支付给乙方，具体支付时间和方式如下：</w:t>
      </w:r>
    </w:p>
    <w:p w14:paraId="575240D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1.成交价为合同价款，单个项目经甲方审查通过并获得审批部门正式批复后，提交全套资料</w:t>
      </w:r>
      <w:r>
        <w:rPr>
          <w:rFonts w:hint="eastAsia" w:ascii="宋体" w:hAnsi="宋体" w:cs="宋体"/>
          <w:color w:val="auto"/>
          <w:highlight w:val="none"/>
          <w:lang w:eastAsia="zh-CN"/>
        </w:rPr>
        <w:t>，支</w:t>
      </w:r>
      <w:r>
        <w:rPr>
          <w:rFonts w:hint="eastAsia" w:ascii="宋体" w:hAnsi="宋体" w:cs="宋体"/>
          <w:color w:val="auto"/>
          <w:highlight w:val="none"/>
        </w:rPr>
        <w:t>付单个项目合同价的100%；付款前乙方须按要求开具合规增值税发票，付款周期顺延以财政资金实际拨付时间为准。</w:t>
      </w:r>
    </w:p>
    <w:p w14:paraId="4479DAB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乙方已按合同约定提交合格成果且通过甲方内部审核，因甲方规划调整、不可抗力、项目停建等非乙方客观因素无法取得审批批复的，自成果交付满6个月后，甲方支付合同总价80%作为阶段性服务费用；剩余20%尾款待项目重启或终止清算后据实结算，乙方按结算金额分次开具发票。</w:t>
      </w:r>
    </w:p>
    <w:p w14:paraId="562085EF">
      <w:pPr>
        <w:spacing w:line="360" w:lineRule="auto"/>
        <w:ind w:firstLine="422" w:firstLineChars="200"/>
        <w:rPr>
          <w:rFonts w:ascii="宋体" w:hAnsi="宋体" w:cs="宋体"/>
          <w:b/>
          <w:bCs/>
          <w:color w:val="auto"/>
        </w:rPr>
      </w:pPr>
      <w:r>
        <w:rPr>
          <w:rFonts w:hint="eastAsia" w:ascii="宋体" w:hAnsi="宋体" w:cs="宋体"/>
          <w:b/>
          <w:bCs/>
          <w:color w:val="auto"/>
        </w:rPr>
        <w:t>第六条 违约责任</w:t>
      </w:r>
    </w:p>
    <w:p w14:paraId="049F3E14">
      <w:pPr>
        <w:spacing w:line="360" w:lineRule="auto"/>
        <w:ind w:firstLine="420" w:firstLineChars="200"/>
        <w:rPr>
          <w:rFonts w:ascii="宋体" w:hAnsi="宋体" w:cs="宋体"/>
          <w:color w:val="auto"/>
        </w:rPr>
      </w:pPr>
      <w:r>
        <w:rPr>
          <w:rFonts w:hint="eastAsia" w:ascii="宋体" w:hAnsi="宋体" w:cs="宋体"/>
          <w:color w:val="auto"/>
        </w:rPr>
        <w:t>（一）除非</w:t>
      </w:r>
      <w:r>
        <w:rPr>
          <w:rFonts w:hint="eastAsia" w:ascii="宋体" w:hAnsi="宋体" w:cs="宋体"/>
          <w:color w:val="auto"/>
          <w:lang w:eastAsia="zh-CN"/>
        </w:rPr>
        <w:t>法律法规</w:t>
      </w:r>
      <w:r>
        <w:rPr>
          <w:rFonts w:hint="eastAsia" w:ascii="宋体" w:hAnsi="宋体" w:cs="宋体"/>
          <w:color w:val="auto"/>
        </w:rPr>
        <w:t>规定或本合同约定，任何一方不得擅自解除合同。擅自解除合同属</w:t>
      </w:r>
      <w:r>
        <w:rPr>
          <w:color w:val="auto"/>
        </w:rPr>
        <w:fldChar w:fldCharType="begin"/>
      </w:r>
      <w:r>
        <w:rPr>
          <w:color w:val="auto"/>
        </w:rPr>
        <w:instrText xml:space="preserve"> HYPERLINK "http://www.wenku1.com/so?s=5400272476022044305&amp;entry=1&amp;q=%E8%BF%9D%E7%BA%A6%E8%A1%8C%E4%B8%BA" \t "_blank" </w:instrText>
      </w:r>
      <w:r>
        <w:rPr>
          <w:color w:val="auto"/>
        </w:rPr>
        <w:fldChar w:fldCharType="separate"/>
      </w:r>
      <w:r>
        <w:rPr>
          <w:rStyle w:val="39"/>
          <w:rFonts w:hint="eastAsia" w:ascii="宋体" w:hAnsi="宋体" w:cs="宋体"/>
          <w:color w:val="auto"/>
          <w:szCs w:val="21"/>
        </w:rPr>
        <w:t>违约行为</w:t>
      </w:r>
      <w:r>
        <w:rPr>
          <w:rStyle w:val="39"/>
          <w:rFonts w:hint="eastAsia" w:ascii="宋体" w:hAnsi="宋体" w:cs="宋体"/>
          <w:color w:val="auto"/>
          <w:szCs w:val="21"/>
        </w:rPr>
        <w:fldChar w:fldCharType="end"/>
      </w:r>
      <w:r>
        <w:rPr>
          <w:rFonts w:hint="eastAsia" w:ascii="宋体" w:hAnsi="宋体" w:cs="宋体"/>
          <w:color w:val="auto"/>
        </w:rPr>
        <w:t>。</w:t>
      </w:r>
    </w:p>
    <w:p w14:paraId="411375A8">
      <w:pPr>
        <w:spacing w:line="360" w:lineRule="auto"/>
        <w:ind w:firstLine="420" w:firstLineChars="200"/>
        <w:rPr>
          <w:rFonts w:ascii="宋体" w:hAnsi="宋体" w:cs="宋体"/>
          <w:color w:val="auto"/>
        </w:rPr>
      </w:pPr>
      <w:r>
        <w:rPr>
          <w:rFonts w:hint="eastAsia" w:ascii="宋体" w:hAnsi="宋体" w:cs="宋体"/>
          <w:color w:val="auto"/>
        </w:rPr>
        <w:t>（二）因乙方自身的原因未按本合同约定的期限提交《项目建议书、可行性研究报告》初稿或正式文本，属于违约行为。于此情形下，乙方每逾期一个日历天，甲方有权扣减本合同约定的编制工作报酬总额的3‰作为违约金；逾期15个日历天以上，甲方有权单方面解除合同，并有权要求乙方支付本合同约定的编制工作报酬总额的20%作为违约金。</w:t>
      </w:r>
    </w:p>
    <w:p w14:paraId="31A70A07">
      <w:pPr>
        <w:spacing w:line="360" w:lineRule="auto"/>
        <w:ind w:firstLine="420" w:firstLineChars="200"/>
        <w:rPr>
          <w:rFonts w:ascii="宋体" w:hAnsi="宋体" w:cs="宋体"/>
          <w:color w:val="auto"/>
        </w:rPr>
      </w:pPr>
      <w:r>
        <w:rPr>
          <w:rFonts w:hint="eastAsia" w:ascii="宋体" w:hAnsi="宋体" w:cs="宋体"/>
          <w:color w:val="auto"/>
        </w:rPr>
        <w:t>（三）《项目建议书、可行性研究报告》未获验收通过，属于违约行为。于此情形下，乙方应无偿返工或者采取补救措施；因此而造成超期七个日历天以上（含七个日历天）交付《项目建议书、可行性研究报告》的，乙方还应承担本条第（二）项约定的违约责任。</w:t>
      </w:r>
    </w:p>
    <w:p w14:paraId="197A0C46">
      <w:pPr>
        <w:spacing w:line="360" w:lineRule="auto"/>
        <w:ind w:firstLine="420" w:firstLineChars="200"/>
        <w:rPr>
          <w:rFonts w:ascii="宋体" w:hAnsi="宋体" w:cs="宋体"/>
          <w:color w:val="auto"/>
        </w:rPr>
      </w:pPr>
      <w:r>
        <w:rPr>
          <w:rFonts w:hint="eastAsia" w:ascii="宋体" w:hAnsi="宋体" w:cs="宋体"/>
          <w:color w:val="auto"/>
        </w:rPr>
        <w:t>（四）乙方所提交的《项目建议书、可行性研究报告》不符合约定，属于违约行为。于此情形下，乙方除无偿返工或者采取补救措施加以完善之外，还应承担违约赔偿责任。</w:t>
      </w:r>
    </w:p>
    <w:p w14:paraId="052D7919">
      <w:pPr>
        <w:spacing w:line="360" w:lineRule="auto"/>
        <w:ind w:firstLine="420" w:firstLineChars="200"/>
        <w:rPr>
          <w:rFonts w:ascii="宋体" w:hAnsi="宋体" w:cs="宋体"/>
          <w:color w:val="auto"/>
        </w:rPr>
      </w:pPr>
      <w:r>
        <w:rPr>
          <w:rFonts w:hint="eastAsia" w:ascii="宋体" w:hAnsi="宋体" w:cs="宋体"/>
          <w:color w:val="auto"/>
        </w:rPr>
        <w:t>（五）乙方违反本合同其他约定（含其他文件的承诺），亦属于违约行为。每违反一次，扣减本合同约定的编制工作报酬总额的5‰作为违约金。</w:t>
      </w:r>
    </w:p>
    <w:p w14:paraId="477F9DD9">
      <w:pPr>
        <w:spacing w:line="360" w:lineRule="auto"/>
        <w:ind w:firstLine="420" w:firstLineChars="200"/>
        <w:rPr>
          <w:rFonts w:ascii="宋体" w:hAnsi="宋体" w:cs="宋体"/>
          <w:color w:val="auto"/>
        </w:rPr>
      </w:pPr>
      <w:r>
        <w:rPr>
          <w:rFonts w:hint="eastAsia" w:ascii="宋体" w:hAnsi="宋体" w:cs="宋体"/>
          <w:color w:val="auto"/>
        </w:rPr>
        <w:t>（六）甲方未按本合同约定及时提交乙方开展编制工作所需要的技术、基础资料，属于违约行为。于此情形下，乙方可顺延向甲方交付《项目建议书、可行性研究报告》的时间。</w:t>
      </w:r>
    </w:p>
    <w:p w14:paraId="5FB16AEB">
      <w:pPr>
        <w:spacing w:line="360" w:lineRule="auto"/>
        <w:ind w:firstLine="420" w:firstLineChars="200"/>
        <w:rPr>
          <w:rFonts w:ascii="宋体" w:hAnsi="宋体" w:cs="宋体"/>
          <w:color w:val="auto"/>
        </w:rPr>
      </w:pPr>
      <w:r>
        <w:rPr>
          <w:rFonts w:hint="eastAsia" w:ascii="宋体" w:hAnsi="宋体" w:cs="宋体"/>
          <w:color w:val="auto"/>
        </w:rPr>
        <w:t>（七）由于一方的违约行为而给另一方造成损失的，违约的一方应承担相应的赔偿责任。</w:t>
      </w:r>
    </w:p>
    <w:p w14:paraId="7FD0C0AB">
      <w:pPr>
        <w:spacing w:line="360" w:lineRule="auto"/>
        <w:ind w:firstLine="420" w:firstLineChars="200"/>
        <w:rPr>
          <w:rFonts w:ascii="宋体" w:hAnsi="宋体" w:cs="宋体"/>
          <w:color w:val="auto"/>
        </w:rPr>
      </w:pPr>
      <w:r>
        <w:rPr>
          <w:rFonts w:hint="eastAsia" w:ascii="宋体" w:hAnsi="宋体" w:cs="宋体"/>
          <w:color w:val="auto"/>
        </w:rPr>
        <w:t>（八）在本合同有效期内，乙方的单位名称变更的，应及时以书面形式通知甲方；乙方法定代表人变更的，应在变更后15日内向甲方提交新法定代表人的职务、职称、联系电话、通信地址等信息。否则视为乙方违约，乙方应当向甲方支付5000元作为违约金。</w:t>
      </w:r>
    </w:p>
    <w:p w14:paraId="4DE749B6">
      <w:pPr>
        <w:spacing w:line="360" w:lineRule="auto"/>
        <w:ind w:firstLine="422" w:firstLineChars="200"/>
        <w:rPr>
          <w:rFonts w:ascii="宋体" w:hAnsi="宋体" w:cs="宋体"/>
          <w:b/>
          <w:bCs/>
          <w:color w:val="auto"/>
        </w:rPr>
      </w:pPr>
      <w:r>
        <w:rPr>
          <w:rFonts w:hint="eastAsia" w:ascii="宋体" w:hAnsi="宋体" w:cs="宋体"/>
          <w:b/>
          <w:bCs/>
          <w:color w:val="auto"/>
        </w:rPr>
        <w:t>第七条 项目中止处理</w:t>
      </w:r>
    </w:p>
    <w:p w14:paraId="3106B1D6">
      <w:pPr>
        <w:spacing w:line="360" w:lineRule="auto"/>
        <w:ind w:firstLine="420" w:firstLineChars="200"/>
        <w:rPr>
          <w:rFonts w:ascii="宋体" w:hAnsi="宋体" w:cs="宋体"/>
          <w:color w:val="auto"/>
        </w:rPr>
      </w:pPr>
      <w:r>
        <w:rPr>
          <w:rFonts w:hint="eastAsia" w:ascii="宋体" w:hAnsi="宋体" w:cs="宋体"/>
          <w:color w:val="auto"/>
        </w:rPr>
        <w:t>若因甲方决策、政策变化、资金不足等非乙方原因导致项目中止，甲方应及时书面通知乙方。乙方已完成工作的，甲方应按实际工作量比例支付费用（具体比例参照本合同第五条第㈢款）。双方应友好协商终止合同事宜，甲方不承担违约责任。</w:t>
      </w:r>
    </w:p>
    <w:p w14:paraId="055A6E32">
      <w:pPr>
        <w:spacing w:line="360" w:lineRule="auto"/>
        <w:ind w:firstLine="422" w:firstLineChars="200"/>
        <w:rPr>
          <w:rFonts w:ascii="宋体" w:hAnsi="宋体" w:cs="宋体"/>
          <w:b/>
          <w:bCs/>
          <w:color w:val="auto"/>
        </w:rPr>
      </w:pPr>
      <w:r>
        <w:rPr>
          <w:rFonts w:hint="eastAsia" w:ascii="宋体" w:hAnsi="宋体" w:cs="宋体"/>
          <w:b/>
          <w:bCs/>
          <w:color w:val="auto"/>
        </w:rPr>
        <w:t>第八条 变更</w:t>
      </w:r>
    </w:p>
    <w:p w14:paraId="12383492">
      <w:pPr>
        <w:spacing w:line="360" w:lineRule="auto"/>
        <w:ind w:firstLine="420" w:firstLineChars="200"/>
        <w:rPr>
          <w:rFonts w:ascii="宋体" w:hAnsi="宋体" w:cs="宋体"/>
          <w:color w:val="auto"/>
        </w:rPr>
      </w:pPr>
      <w:r>
        <w:rPr>
          <w:rFonts w:hint="eastAsia" w:ascii="宋体" w:hAnsi="宋体" w:cs="宋体"/>
          <w:color w:val="auto"/>
        </w:rPr>
        <w:t>本合同可以变更，必要时可签订补充合同。变更必须由甲乙双方协商一致，并以书面形式确定。一方可以书面形式向另一方提出变更合同的请求，另一方应当在15日内予以书面答复；逾期未予答复的，视为不同意变更。</w:t>
      </w:r>
    </w:p>
    <w:p w14:paraId="35A1775F">
      <w:pPr>
        <w:spacing w:line="360" w:lineRule="auto"/>
        <w:ind w:firstLine="422" w:firstLineChars="200"/>
        <w:rPr>
          <w:rFonts w:ascii="宋体" w:hAnsi="宋体" w:cs="宋体"/>
          <w:b/>
          <w:bCs/>
          <w:color w:val="auto"/>
        </w:rPr>
      </w:pPr>
      <w:r>
        <w:rPr>
          <w:rFonts w:hint="eastAsia" w:ascii="宋体" w:hAnsi="宋体" w:cs="宋体"/>
          <w:b/>
          <w:bCs/>
          <w:color w:val="auto"/>
        </w:rPr>
        <w:t>第九条 项目联系人及其职责</w:t>
      </w:r>
    </w:p>
    <w:p w14:paraId="4989EC52">
      <w:pPr>
        <w:spacing w:line="360" w:lineRule="auto"/>
        <w:ind w:firstLine="420" w:firstLineChars="200"/>
        <w:rPr>
          <w:rFonts w:ascii="宋体" w:hAnsi="宋体" w:cs="宋体"/>
          <w:color w:val="auto"/>
        </w:rPr>
      </w:pPr>
      <w:r>
        <w:rPr>
          <w:rFonts w:hint="eastAsia" w:ascii="宋体" w:hAnsi="宋体" w:cs="宋体"/>
          <w:color w:val="auto"/>
        </w:rPr>
        <w:t>双方确定，在本合同有效期内，甲方指定为甲方项目联系人，乙方指定为乙方项目联系人。</w:t>
      </w:r>
    </w:p>
    <w:p w14:paraId="0592566C">
      <w:pPr>
        <w:spacing w:line="360" w:lineRule="auto"/>
        <w:ind w:firstLine="420" w:firstLineChars="200"/>
        <w:rPr>
          <w:rFonts w:ascii="宋体" w:hAnsi="宋体" w:cs="宋体"/>
          <w:color w:val="auto"/>
        </w:rPr>
      </w:pPr>
      <w:r>
        <w:rPr>
          <w:rFonts w:hint="eastAsia" w:ascii="宋体" w:hAnsi="宋体" w:cs="宋体"/>
          <w:color w:val="auto"/>
        </w:rPr>
        <w:t>项目联系人承担以下责任：</w:t>
      </w:r>
    </w:p>
    <w:p w14:paraId="7E96A46A">
      <w:pPr>
        <w:spacing w:line="360" w:lineRule="auto"/>
        <w:ind w:firstLine="420" w:firstLineChars="200"/>
        <w:rPr>
          <w:rFonts w:ascii="宋体" w:hAnsi="宋体" w:cs="宋体"/>
          <w:color w:val="auto"/>
        </w:rPr>
      </w:pPr>
      <w:r>
        <w:rPr>
          <w:rFonts w:hint="eastAsia" w:ascii="宋体" w:hAnsi="宋体" w:cs="宋体"/>
          <w:color w:val="auto"/>
        </w:rPr>
        <w:t>（1）负责项目有关事宜的联络与沟通；</w:t>
      </w:r>
    </w:p>
    <w:p w14:paraId="75D1B952">
      <w:pPr>
        <w:spacing w:line="360" w:lineRule="auto"/>
        <w:ind w:firstLine="420" w:firstLineChars="200"/>
        <w:rPr>
          <w:rFonts w:ascii="宋体" w:hAnsi="宋体" w:cs="宋体"/>
          <w:color w:val="auto"/>
        </w:rPr>
      </w:pPr>
      <w:r>
        <w:rPr>
          <w:rFonts w:hint="eastAsia" w:ascii="宋体" w:hAnsi="宋体" w:cs="宋体"/>
          <w:color w:val="auto"/>
        </w:rPr>
        <w:t>（2）协助《项目建议书、可行性研究报告》的上报审批工作；</w:t>
      </w:r>
    </w:p>
    <w:p w14:paraId="0F267D4C">
      <w:pPr>
        <w:spacing w:line="360" w:lineRule="auto"/>
        <w:ind w:firstLine="420" w:firstLineChars="200"/>
        <w:rPr>
          <w:rFonts w:ascii="宋体" w:hAnsi="宋体" w:cs="宋体"/>
          <w:color w:val="auto"/>
        </w:rPr>
      </w:pPr>
      <w:r>
        <w:rPr>
          <w:rFonts w:hint="eastAsia" w:ascii="宋体" w:hAnsi="宋体" w:cs="宋体"/>
          <w:color w:val="auto"/>
        </w:rPr>
        <w:t>（3）解答有关《项目建议书、可行性研究报告》编制内容的问题。</w:t>
      </w:r>
    </w:p>
    <w:p w14:paraId="785DD054">
      <w:pPr>
        <w:spacing w:line="360" w:lineRule="auto"/>
        <w:ind w:firstLine="420" w:firstLineChars="200"/>
        <w:rPr>
          <w:rFonts w:ascii="宋体" w:hAnsi="宋体" w:cs="宋体"/>
          <w:color w:val="auto"/>
        </w:rPr>
      </w:pPr>
      <w:r>
        <w:rPr>
          <w:rFonts w:hint="eastAsia" w:ascii="宋体" w:hAnsi="宋体" w:cs="宋体"/>
          <w:color w:val="auto"/>
        </w:rPr>
        <w:t>一方变更项目联系人的，有义务及时以书面形式通知另一方。任何一方未履行及时通知义务，导致影响本合同的履行并造成损失的，应承担相应的法律责任。</w:t>
      </w:r>
    </w:p>
    <w:p w14:paraId="5440E7D8">
      <w:pPr>
        <w:spacing w:line="360" w:lineRule="auto"/>
        <w:ind w:firstLine="422" w:firstLineChars="200"/>
        <w:rPr>
          <w:rFonts w:ascii="宋体" w:hAnsi="宋体" w:cs="宋体"/>
          <w:b/>
          <w:bCs/>
          <w:color w:val="auto"/>
        </w:rPr>
      </w:pPr>
      <w:r>
        <w:rPr>
          <w:rFonts w:hint="eastAsia" w:ascii="宋体" w:hAnsi="宋体" w:cs="宋体"/>
          <w:b/>
          <w:bCs/>
          <w:color w:val="auto"/>
        </w:rPr>
        <w:t>第十条 保密条款</w:t>
      </w:r>
    </w:p>
    <w:p w14:paraId="6C214F6D">
      <w:pPr>
        <w:spacing w:line="360" w:lineRule="auto"/>
        <w:ind w:firstLine="420" w:firstLineChars="200"/>
        <w:rPr>
          <w:rFonts w:ascii="宋体" w:hAnsi="宋体" w:cs="宋体"/>
          <w:color w:val="auto"/>
        </w:rPr>
      </w:pPr>
      <w:r>
        <w:rPr>
          <w:rFonts w:hint="eastAsia" w:ascii="宋体" w:hAnsi="宋体" w:cs="宋体"/>
          <w:color w:val="auto"/>
        </w:rPr>
        <w:t>乙方郑重承诺：在本</w:t>
      </w:r>
      <w:r>
        <w:rPr>
          <w:color w:val="auto"/>
        </w:rPr>
        <w:fldChar w:fldCharType="begin"/>
      </w:r>
      <w:r>
        <w:rPr>
          <w:color w:val="auto"/>
        </w:rPr>
        <w:instrText xml:space="preserve"> HYPERLINK "http://www.wenku1.com/so?s=5400272476022044305&amp;entry=1&amp;q=%E5%90%88%E5%90%8C%E5%B1%A5%E8%A1%8C" \t "_blank" </w:instrText>
      </w:r>
      <w:r>
        <w:rPr>
          <w:color w:val="auto"/>
        </w:rPr>
        <w:fldChar w:fldCharType="separate"/>
      </w:r>
      <w:r>
        <w:rPr>
          <w:rStyle w:val="39"/>
          <w:rFonts w:hint="eastAsia" w:ascii="宋体" w:hAnsi="宋体" w:cs="宋体"/>
          <w:color w:val="auto"/>
          <w:szCs w:val="21"/>
        </w:rPr>
        <w:t>合同履行</w:t>
      </w:r>
      <w:r>
        <w:rPr>
          <w:rStyle w:val="39"/>
          <w:rFonts w:hint="eastAsia" w:ascii="宋体" w:hAnsi="宋体" w:cs="宋体"/>
          <w:color w:val="auto"/>
          <w:szCs w:val="21"/>
        </w:rPr>
        <w:fldChar w:fldCharType="end"/>
      </w:r>
      <w:r>
        <w:rPr>
          <w:rFonts w:hint="eastAsia" w:ascii="宋体" w:hAnsi="宋体" w:cs="宋体"/>
          <w:color w:val="auto"/>
        </w:rPr>
        <w:t>期间及履行完毕后5年内，所有涉密人员（包括但不限于项目小组人员及乙方内部有关人员）未经甲方同意，不会将甲方所提供的资料（包括但不限于技术资料和经营资料）和编制的《项目建议书、可行性研究报告》用于本项目以外的其他用途，如有违反，乙方保证承担相应的法律责任。</w:t>
      </w:r>
    </w:p>
    <w:p w14:paraId="479B2AF4">
      <w:pPr>
        <w:spacing w:line="360" w:lineRule="auto"/>
        <w:ind w:firstLine="422" w:firstLineChars="200"/>
        <w:rPr>
          <w:rFonts w:ascii="宋体" w:hAnsi="宋体" w:cs="宋体"/>
          <w:b/>
          <w:bCs/>
          <w:color w:val="auto"/>
        </w:rPr>
      </w:pPr>
      <w:r>
        <w:rPr>
          <w:rFonts w:hint="eastAsia" w:ascii="宋体" w:hAnsi="宋体" w:cs="宋体"/>
          <w:b/>
          <w:bCs/>
          <w:color w:val="auto"/>
        </w:rPr>
        <w:t>第十一条 争议解决</w:t>
      </w:r>
    </w:p>
    <w:p w14:paraId="77F1AC0B">
      <w:pPr>
        <w:spacing w:line="360" w:lineRule="auto"/>
        <w:ind w:firstLine="420" w:firstLineChars="200"/>
        <w:rPr>
          <w:rFonts w:ascii="宋体" w:hAnsi="宋体" w:cs="宋体"/>
          <w:color w:val="auto"/>
        </w:rPr>
      </w:pPr>
      <w:r>
        <w:rPr>
          <w:rFonts w:hint="eastAsia" w:ascii="宋体" w:hAnsi="宋体" w:cs="宋体"/>
          <w:color w:val="auto"/>
        </w:rPr>
        <w:t>双方因履行本合同而发生的或与本合同有关的一切争议，应协商或在有关主管部门主持下调解解决。协商、调解不成的，任何一方可向工程所在地有管辖权的人民法院起诉。</w:t>
      </w:r>
    </w:p>
    <w:p w14:paraId="326A03C5">
      <w:pPr>
        <w:spacing w:line="360" w:lineRule="auto"/>
        <w:ind w:firstLine="422" w:firstLineChars="200"/>
        <w:rPr>
          <w:rFonts w:ascii="宋体" w:hAnsi="宋体" w:cs="宋体"/>
          <w:b/>
          <w:bCs/>
          <w:color w:val="auto"/>
        </w:rPr>
      </w:pPr>
      <w:r>
        <w:rPr>
          <w:rFonts w:hint="eastAsia" w:ascii="宋体" w:hAnsi="宋体" w:cs="宋体"/>
          <w:b/>
          <w:bCs/>
          <w:color w:val="auto"/>
        </w:rPr>
        <w:t>第十二条合同生效</w:t>
      </w:r>
    </w:p>
    <w:p w14:paraId="166800A8">
      <w:pPr>
        <w:spacing w:line="360" w:lineRule="auto"/>
        <w:ind w:firstLine="420" w:firstLineChars="200"/>
        <w:rPr>
          <w:rFonts w:ascii="宋体" w:hAnsi="宋体" w:cs="宋体"/>
          <w:color w:val="auto"/>
        </w:rPr>
      </w:pPr>
      <w:r>
        <w:rPr>
          <w:rFonts w:hint="eastAsia" w:ascii="宋体" w:hAnsi="宋体" w:cs="宋体"/>
          <w:color w:val="auto"/>
        </w:rPr>
        <w:t>本合同经甲乙双方法定代表人或授权代表签章并加盖单位公章后生效。</w:t>
      </w:r>
    </w:p>
    <w:p w14:paraId="6A8D1135">
      <w:pPr>
        <w:spacing w:line="360" w:lineRule="auto"/>
        <w:ind w:firstLine="422" w:firstLineChars="200"/>
        <w:rPr>
          <w:rFonts w:ascii="宋体" w:hAnsi="宋体" w:cs="宋体"/>
          <w:b/>
          <w:bCs/>
          <w:color w:val="auto"/>
        </w:rPr>
      </w:pPr>
      <w:r>
        <w:rPr>
          <w:rFonts w:hint="eastAsia" w:ascii="宋体" w:hAnsi="宋体" w:cs="宋体"/>
          <w:b/>
          <w:bCs/>
          <w:color w:val="auto"/>
        </w:rPr>
        <w:t>第十三条 其他</w:t>
      </w:r>
    </w:p>
    <w:p w14:paraId="56D2C222">
      <w:pPr>
        <w:spacing w:line="360" w:lineRule="auto"/>
        <w:ind w:firstLine="420" w:firstLineChars="200"/>
        <w:rPr>
          <w:rFonts w:ascii="宋体" w:hAnsi="宋体" w:cs="宋体"/>
          <w:color w:val="auto"/>
        </w:rPr>
      </w:pPr>
      <w:r>
        <w:rPr>
          <w:rFonts w:hint="eastAsia" w:ascii="宋体" w:hAnsi="宋体" w:cs="宋体"/>
          <w:color w:val="auto"/>
        </w:rPr>
        <w:t>本合同正本</w:t>
      </w:r>
      <w:r>
        <w:rPr>
          <w:color w:val="auto"/>
        </w:rPr>
        <w:fldChar w:fldCharType="begin"/>
      </w:r>
      <w:r>
        <w:rPr>
          <w:color w:val="auto"/>
        </w:rPr>
        <w:instrText xml:space="preserve"> HYPERLINK "http://www.wenku1.com/so?s=5400272476022044305&amp;entry=1&amp;q=%E4%B8%80%E5%BC%8F%E4%B8%A4%E4%BB%BD" \t "_blank" </w:instrText>
      </w:r>
      <w:r>
        <w:rPr>
          <w:color w:val="auto"/>
        </w:rPr>
        <w:fldChar w:fldCharType="separate"/>
      </w:r>
      <w:r>
        <w:rPr>
          <w:rFonts w:hint="eastAsia" w:ascii="宋体" w:hAnsi="宋体" w:cs="宋体"/>
          <w:color w:val="auto"/>
        </w:rPr>
        <w:t>一式四份</w:t>
      </w:r>
      <w:r>
        <w:rPr>
          <w:rFonts w:hint="eastAsia" w:ascii="宋体" w:hAnsi="宋体" w:cs="宋体"/>
          <w:color w:val="auto"/>
        </w:rPr>
        <w:fldChar w:fldCharType="end"/>
      </w:r>
      <w:r>
        <w:rPr>
          <w:rFonts w:hint="eastAsia" w:ascii="宋体" w:hAnsi="宋体" w:cs="宋体"/>
          <w:color w:val="auto"/>
        </w:rPr>
        <w:t>，甲乙双方各执两份。</w:t>
      </w:r>
    </w:p>
    <w:p w14:paraId="0EEE7C64">
      <w:pPr>
        <w:spacing w:line="360" w:lineRule="auto"/>
        <w:ind w:firstLine="420" w:firstLineChars="200"/>
        <w:rPr>
          <w:color w:val="auto"/>
        </w:rPr>
      </w:pPr>
    </w:p>
    <w:p w14:paraId="512854AE">
      <w:pPr>
        <w:spacing w:line="360" w:lineRule="auto"/>
        <w:ind w:firstLine="420" w:firstLineChars="200"/>
        <w:rPr>
          <w:color w:val="auto"/>
        </w:rPr>
      </w:pPr>
      <w:r>
        <w:rPr>
          <w:rFonts w:hint="eastAsia"/>
          <w:color w:val="auto"/>
        </w:rPr>
        <w:t>甲方（公章）：                                乙方（公章）：</w:t>
      </w:r>
    </w:p>
    <w:p w14:paraId="0FDDEFEE">
      <w:pPr>
        <w:spacing w:line="360" w:lineRule="auto"/>
        <w:ind w:firstLine="420" w:firstLineChars="200"/>
        <w:rPr>
          <w:color w:val="auto"/>
        </w:rPr>
      </w:pPr>
      <w:r>
        <w:rPr>
          <w:rFonts w:hint="eastAsia"/>
          <w:color w:val="auto"/>
        </w:rPr>
        <w:t>法定代表人                                    法定代表人</w:t>
      </w:r>
    </w:p>
    <w:p w14:paraId="342BD32F">
      <w:pPr>
        <w:spacing w:line="360" w:lineRule="auto"/>
        <w:ind w:firstLine="420" w:firstLineChars="200"/>
        <w:rPr>
          <w:color w:val="auto"/>
        </w:rPr>
      </w:pPr>
      <w:r>
        <w:rPr>
          <w:rFonts w:hint="eastAsia"/>
          <w:color w:val="auto"/>
        </w:rPr>
        <w:t>（或授权代理人）                             （或授权代理人）</w:t>
      </w:r>
    </w:p>
    <w:p w14:paraId="584945F6">
      <w:pPr>
        <w:spacing w:line="360" w:lineRule="auto"/>
        <w:ind w:firstLine="420" w:firstLineChars="200"/>
        <w:rPr>
          <w:color w:val="auto"/>
        </w:rPr>
      </w:pPr>
      <w:r>
        <w:rPr>
          <w:rFonts w:hint="eastAsia"/>
          <w:color w:val="auto"/>
        </w:rPr>
        <w:t>签字：                                        签字：</w:t>
      </w:r>
    </w:p>
    <w:p w14:paraId="0B98610B">
      <w:pPr>
        <w:spacing w:line="360" w:lineRule="auto"/>
        <w:ind w:firstLine="420" w:firstLineChars="200"/>
        <w:rPr>
          <w:color w:val="auto"/>
        </w:rPr>
      </w:pPr>
      <w:r>
        <w:rPr>
          <w:rFonts w:hint="eastAsia"/>
          <w:color w:val="auto"/>
        </w:rPr>
        <w:t>联系电话：                                    联系电话：</w:t>
      </w:r>
    </w:p>
    <w:p w14:paraId="64D49CE4">
      <w:pPr>
        <w:spacing w:line="360" w:lineRule="auto"/>
        <w:ind w:firstLine="420" w:firstLineChars="200"/>
        <w:rPr>
          <w:color w:val="auto"/>
        </w:rPr>
      </w:pPr>
      <w:r>
        <w:rPr>
          <w:rFonts w:hint="eastAsia"/>
          <w:color w:val="auto"/>
        </w:rPr>
        <w:t>开户银行：                                   开户银行：</w:t>
      </w:r>
    </w:p>
    <w:p w14:paraId="2FD91478">
      <w:pPr>
        <w:spacing w:line="360" w:lineRule="auto"/>
        <w:ind w:firstLine="420" w:firstLineChars="200"/>
        <w:rPr>
          <w:color w:val="auto"/>
        </w:rPr>
      </w:pPr>
      <w:r>
        <w:rPr>
          <w:rFonts w:hint="eastAsia"/>
          <w:color w:val="auto"/>
        </w:rPr>
        <w:t>银行账号：银行账号：</w:t>
      </w:r>
    </w:p>
    <w:p w14:paraId="00F31D20">
      <w:pPr>
        <w:spacing w:line="360" w:lineRule="auto"/>
        <w:ind w:firstLine="420" w:firstLineChars="200"/>
        <w:rPr>
          <w:color w:val="auto"/>
        </w:rPr>
      </w:pPr>
      <w:r>
        <w:rPr>
          <w:rFonts w:hint="eastAsia"/>
          <w:color w:val="auto"/>
        </w:rPr>
        <w:t>日   期：                                     日   期：</w:t>
      </w:r>
    </w:p>
    <w:p w14:paraId="48940A75">
      <w:pPr>
        <w:rPr>
          <w:color w:val="auto"/>
          <w:sz w:val="36"/>
        </w:rPr>
      </w:pPr>
    </w:p>
    <w:p w14:paraId="5B8FE2CA">
      <w:pPr>
        <w:spacing w:line="360" w:lineRule="auto"/>
        <w:jc w:val="center"/>
        <w:rPr>
          <w:b/>
          <w:bCs/>
          <w:color w:val="auto"/>
          <w:kern w:val="44"/>
          <w:sz w:val="36"/>
          <w:szCs w:val="36"/>
        </w:rPr>
      </w:pPr>
    </w:p>
    <w:p w14:paraId="4389DF4E">
      <w:pPr>
        <w:spacing w:line="360" w:lineRule="auto"/>
        <w:jc w:val="center"/>
        <w:rPr>
          <w:b/>
          <w:bCs/>
          <w:color w:val="auto"/>
          <w:kern w:val="44"/>
          <w:sz w:val="36"/>
          <w:szCs w:val="36"/>
        </w:rPr>
      </w:pPr>
    </w:p>
    <w:p w14:paraId="10C11532">
      <w:pPr>
        <w:spacing w:line="360" w:lineRule="auto"/>
        <w:jc w:val="center"/>
        <w:rPr>
          <w:b/>
          <w:bCs/>
          <w:color w:val="auto"/>
          <w:kern w:val="44"/>
          <w:sz w:val="36"/>
          <w:szCs w:val="36"/>
        </w:rPr>
      </w:pPr>
    </w:p>
    <w:p w14:paraId="70D2CEF3">
      <w:pPr>
        <w:rPr>
          <w:b/>
          <w:bCs/>
          <w:color w:val="auto"/>
          <w:kern w:val="44"/>
          <w:sz w:val="36"/>
          <w:szCs w:val="36"/>
        </w:rPr>
      </w:pPr>
      <w:r>
        <w:rPr>
          <w:b/>
          <w:bCs/>
          <w:color w:val="auto"/>
          <w:kern w:val="44"/>
          <w:sz w:val="36"/>
          <w:szCs w:val="36"/>
        </w:rPr>
        <w:br w:type="page"/>
      </w:r>
    </w:p>
    <w:p w14:paraId="56634D96">
      <w:pPr>
        <w:pStyle w:val="2"/>
        <w:rPr>
          <w:color w:val="auto"/>
        </w:rPr>
      </w:pPr>
      <w:bookmarkStart w:id="108" w:name="_Toc15541"/>
      <w:r>
        <w:rPr>
          <w:color w:val="auto"/>
        </w:rPr>
        <w:t>第四章 项目需求</w:t>
      </w:r>
      <w:bookmarkEnd w:id="105"/>
      <w:bookmarkEnd w:id="106"/>
      <w:bookmarkEnd w:id="108"/>
    </w:p>
    <w:p w14:paraId="250EF336">
      <w:pPr>
        <w:pStyle w:val="4"/>
        <w:keepNext w:val="0"/>
        <w:keepLines w:val="0"/>
        <w:widowControl/>
        <w:spacing w:before="0" w:after="0" w:line="360" w:lineRule="auto"/>
        <w:ind w:firstLine="422" w:firstLineChars="200"/>
        <w:rPr>
          <w:rFonts w:ascii="宋体" w:hAnsi="宋体" w:cs="宋体"/>
          <w:color w:val="auto"/>
          <w:sz w:val="21"/>
          <w:szCs w:val="21"/>
        </w:rPr>
      </w:pPr>
      <w:bookmarkStart w:id="109" w:name="_Toc7243"/>
      <w:r>
        <w:rPr>
          <w:rFonts w:hint="eastAsia" w:ascii="宋体" w:hAnsi="宋体" w:cs="宋体"/>
          <w:color w:val="auto"/>
          <w:sz w:val="21"/>
          <w:szCs w:val="21"/>
        </w:rPr>
        <w:t>一、项目概况</w:t>
      </w:r>
    </w:p>
    <w:p w14:paraId="03DC385F">
      <w:pPr>
        <w:widowControl/>
        <w:spacing w:line="360" w:lineRule="auto"/>
        <w:ind w:firstLine="420" w:firstLineChars="200"/>
        <w:rPr>
          <w:rFonts w:ascii="宋体" w:hAnsi="宋体" w:cs="宋体"/>
          <w:color w:val="auto"/>
          <w:szCs w:val="21"/>
        </w:rPr>
      </w:pPr>
      <w:r>
        <w:rPr>
          <w:rFonts w:hint="eastAsia" w:ascii="宋体" w:hAnsi="宋体" w:cs="宋体"/>
          <w:color w:val="auto"/>
          <w:kern w:val="0"/>
          <w:szCs w:val="21"/>
        </w:rPr>
        <w:t>本项目包含</w:t>
      </w:r>
      <w:r>
        <w:rPr>
          <w:rStyle w:val="33"/>
          <w:rFonts w:hint="eastAsia" w:ascii="宋体" w:hAnsi="宋体" w:cs="宋体"/>
          <w:b w:val="0"/>
          <w:color w:val="auto"/>
          <w:kern w:val="0"/>
          <w:szCs w:val="21"/>
        </w:rPr>
        <w:t>住院入口（服务大厅）扩建、门诊楼扩建、既有建筑改造、综合病房楼提升改造</w:t>
      </w:r>
      <w:r>
        <w:rPr>
          <w:rFonts w:hint="eastAsia" w:ascii="宋体" w:hAnsi="宋体" w:cs="宋体"/>
          <w:color w:val="auto"/>
          <w:kern w:val="0"/>
          <w:szCs w:val="21"/>
        </w:rPr>
        <w:t>四个子项，均为扬大附院西区院内改扩建工程，各子项建设内容、建设规模及投资匡算如下：</w:t>
      </w:r>
    </w:p>
    <w:p w14:paraId="5F8B0A93">
      <w:pPr>
        <w:widowControl/>
        <w:spacing w:line="360" w:lineRule="auto"/>
        <w:ind w:firstLine="422" w:firstLineChars="200"/>
        <w:rPr>
          <w:rFonts w:ascii="宋体" w:hAnsi="宋体" w:cs="宋体"/>
          <w:color w:val="auto"/>
          <w:szCs w:val="21"/>
        </w:rPr>
      </w:pPr>
      <w:r>
        <w:rPr>
          <w:rStyle w:val="33"/>
          <w:rFonts w:hint="eastAsia" w:ascii="宋体" w:hAnsi="宋体" w:cs="宋体"/>
          <w:bCs/>
          <w:color w:val="auto"/>
          <w:szCs w:val="21"/>
        </w:rPr>
        <w:t>1.住院入口（服务大厅）扩建项目：</w:t>
      </w:r>
      <w:r>
        <w:rPr>
          <w:rFonts w:hint="eastAsia" w:ascii="宋体" w:hAnsi="宋体" w:cs="宋体"/>
          <w:color w:val="auto"/>
          <w:szCs w:val="21"/>
        </w:rPr>
        <w:t>采用住院入口半户外区域加建二层主体结构，三层配套架设封闭式空中连廊。其中一层扩建建筑面积 941.80㎡，用于扩容出入院服务大厅；二层建筑面积 990.97㎡，规划体检用房与预留业务用房；三层连廊建筑面积 365.24㎡，实现医技楼与后勤附属楼互联互通，项目总扩建建筑面积约 2300㎡，工程总投资匡算 2030.89 万元。</w:t>
      </w:r>
    </w:p>
    <w:p w14:paraId="4E4999FB">
      <w:pPr>
        <w:widowControl/>
        <w:spacing w:line="360" w:lineRule="auto"/>
        <w:ind w:firstLine="422" w:firstLineChars="200"/>
        <w:rPr>
          <w:rStyle w:val="33"/>
          <w:rFonts w:ascii="宋体" w:hAnsi="宋体" w:cs="宋体"/>
          <w:bCs/>
          <w:color w:val="auto"/>
          <w:szCs w:val="21"/>
        </w:rPr>
      </w:pPr>
      <w:r>
        <w:rPr>
          <w:rStyle w:val="33"/>
          <w:rFonts w:hint="eastAsia" w:ascii="宋体" w:hAnsi="宋体" w:cs="宋体"/>
          <w:bCs/>
          <w:color w:val="auto"/>
          <w:szCs w:val="21"/>
        </w:rPr>
        <w:t>2.门诊楼扩建项目：</w:t>
      </w:r>
      <w:r>
        <w:rPr>
          <w:rFonts w:hint="eastAsia" w:ascii="宋体" w:hAnsi="宋体" w:cs="宋体"/>
          <w:color w:val="auto"/>
          <w:szCs w:val="21"/>
        </w:rPr>
        <w:t>依托西区门诊楼现状四个轴间新建五层弧形外拓连廊，总扩建建筑面积约5280㎡。一层扩建区域布设门急诊检验室、门诊药房、日间治疗中心；二至五层增设内外科、口腔科、耳鼻喉科、皮肤科、中医科等专科诊疗用房，补齐门诊诊疗床位与诊室缺口，总投资匡算4011.20万元。</w:t>
      </w:r>
    </w:p>
    <w:p w14:paraId="30791792">
      <w:pPr>
        <w:widowControl/>
        <w:spacing w:line="360" w:lineRule="auto"/>
        <w:ind w:firstLine="422" w:firstLineChars="200"/>
        <w:rPr>
          <w:rFonts w:ascii="宋体" w:hAnsi="宋体" w:cs="宋体"/>
          <w:color w:val="auto"/>
          <w:szCs w:val="21"/>
        </w:rPr>
      </w:pPr>
      <w:r>
        <w:rPr>
          <w:rStyle w:val="33"/>
          <w:rFonts w:hint="eastAsia" w:ascii="宋体" w:hAnsi="宋体" w:cs="宋体"/>
          <w:bCs/>
          <w:color w:val="auto"/>
          <w:szCs w:val="21"/>
        </w:rPr>
        <w:t>3.既有建筑改造项目：</w:t>
      </w:r>
      <w:r>
        <w:rPr>
          <w:rFonts w:hint="eastAsia" w:ascii="宋体" w:hAnsi="宋体" w:cs="宋体"/>
          <w:color w:val="auto"/>
          <w:szCs w:val="21"/>
        </w:rPr>
        <w:t>改造范围覆盖西区门诊楼、急诊转运平台、住院扩建配套区域、急诊楼及医技楼原有建筑，改造总面积2010㎡。主要实施院内功能布局优化、室内装修翻新、医疗设施设备更新、建筑安全隐患整治、院内智慧物流系统升级，重点落地中心手术室扩容、内镜中心新建、眼科迁建、口腔科扩容、急诊急救中心提质改造等专项工程，总投资匡算9100.25万元。</w:t>
      </w:r>
    </w:p>
    <w:p w14:paraId="47DAEB19">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4.</w:t>
      </w:r>
      <w:r>
        <w:rPr>
          <w:rStyle w:val="33"/>
          <w:rFonts w:hint="eastAsia" w:ascii="宋体" w:hAnsi="宋体" w:cs="宋体"/>
          <w:bCs/>
          <w:color w:val="auto"/>
          <w:szCs w:val="21"/>
        </w:rPr>
        <w:t>综合病房楼提升改造项目：</w:t>
      </w:r>
      <w:r>
        <w:rPr>
          <w:rFonts w:hint="eastAsia" w:ascii="宋体" w:hAnsi="宋体" w:cs="宋体"/>
          <w:color w:val="auto"/>
          <w:szCs w:val="21"/>
        </w:rPr>
        <w:t>改造对象为西区综合病房楼及其附属配套用房，改造范围含地下一层、地上二十二层（局部二十五层），改造总面积 62600㎡。改造内容涵盖建筑外立面翻新、室内装饰升级，给排水、电气、暖通、医用智能化、医用物流、医用电梯、医用气体、安防弱电、热水系统专项改造，同步优化核医学、ICU、血透室、手术室等重点医技科室平面布局，总投资匡算17400万元。</w:t>
      </w:r>
    </w:p>
    <w:p w14:paraId="0B0F659F">
      <w:pPr>
        <w:pStyle w:val="4"/>
        <w:keepNext w:val="0"/>
        <w:keepLines w:val="0"/>
        <w:widowControl/>
        <w:spacing w:before="0" w:after="0" w:line="360" w:lineRule="auto"/>
        <w:ind w:firstLine="422" w:firstLineChars="200"/>
        <w:rPr>
          <w:rFonts w:ascii="宋体" w:hAnsi="宋体" w:cs="宋体"/>
          <w:color w:val="auto"/>
          <w:sz w:val="21"/>
          <w:szCs w:val="21"/>
        </w:rPr>
      </w:pPr>
      <w:r>
        <w:rPr>
          <w:rFonts w:hint="eastAsia" w:ascii="宋体" w:hAnsi="宋体" w:cs="宋体"/>
          <w:color w:val="auto"/>
          <w:sz w:val="21"/>
          <w:szCs w:val="21"/>
        </w:rPr>
        <w:t>二、采购需求</w:t>
      </w:r>
    </w:p>
    <w:p w14:paraId="17A6CCF9">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1.供应商统筹完成上述 4 个子项目项目建议书、可行性研究报告编制工作，成果内容、编制深度须满足省、市发改、教育主管部门审批标准；全程组织专家评审（评审相关费用含在服务总价内），跟进全流程报批直至各项目顺利取得立项批复。服务范围囊括基础资料收集、现场踏勘、文本编制、投资指标测算、评审整改、主管部门对接报批、成果装订归档等全链条技术服务。最终向采购人交付正式纸质版成果（建议书、可研报告各 8 套），同时提交全套电子版资料（含可编辑源文件 + PDF 签章版）1 份。</w:t>
      </w:r>
    </w:p>
    <w:p w14:paraId="1999868C">
      <w:pPr>
        <w:widowControl/>
        <w:spacing w:line="360" w:lineRule="auto"/>
        <w:ind w:firstLine="442" w:firstLineChars="200"/>
        <w:rPr>
          <w:rFonts w:ascii="宋体" w:hAnsi="宋体" w:cs="宋体"/>
          <w:b/>
          <w:bCs/>
          <w:color w:val="auto"/>
          <w:sz w:val="22"/>
          <w:szCs w:val="22"/>
          <w:u w:val="none"/>
        </w:rPr>
      </w:pPr>
      <w:r>
        <w:rPr>
          <w:rFonts w:hint="eastAsia" w:ascii="宋体" w:hAnsi="宋体" w:cs="宋体"/>
          <w:b/>
          <w:bCs/>
          <w:color w:val="auto"/>
          <w:sz w:val="22"/>
          <w:szCs w:val="22"/>
          <w:u w:val="none"/>
        </w:rPr>
        <w:t>2.四个子项目的项目建议书、可研报告实行分项编制、分项报价；若采购人因整体规划调整缩减或合并编制子项数量，成交供应商须无条件配合，按成交分项单价结算实际受托项目费用。</w:t>
      </w:r>
    </w:p>
    <w:p w14:paraId="4BE2CF8C">
      <w:pPr>
        <w:pStyle w:val="4"/>
        <w:keepNext w:val="0"/>
        <w:keepLines w:val="0"/>
        <w:widowControl/>
        <w:spacing w:before="0" w:after="0" w:line="360" w:lineRule="auto"/>
        <w:ind w:firstLine="422" w:firstLineChars="200"/>
        <w:rPr>
          <w:rFonts w:ascii="宋体" w:hAnsi="宋体" w:cs="宋体"/>
          <w:color w:val="auto"/>
          <w:sz w:val="21"/>
          <w:szCs w:val="21"/>
        </w:rPr>
      </w:pPr>
      <w:r>
        <w:rPr>
          <w:rFonts w:hint="eastAsia" w:ascii="宋体" w:hAnsi="宋体" w:cs="宋体"/>
          <w:color w:val="auto"/>
          <w:sz w:val="21"/>
          <w:szCs w:val="21"/>
        </w:rPr>
        <w:t>三、服务周期</w:t>
      </w:r>
    </w:p>
    <w:p w14:paraId="13BBA250">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合同生效后供应商即刻启动资料搜集与前期筹备，收到采购人开工指令后 10个日历天内完成全部项目建议书编制，15个日历天内完成可行性研究报告编制；供应商全程配合采购人、江苏省公建中心、省教育厅、省发改委开展评审答疑、文稿修改、项目上报工作，直至取得官方正式立项批复。</w:t>
      </w:r>
    </w:p>
    <w:p w14:paraId="3991058C">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供应商须根据时限要求细化分项工作计划，按需配置人力，保障各节点按期落地。</w:t>
      </w:r>
    </w:p>
    <w:p w14:paraId="6053A2FB">
      <w:pPr>
        <w:pStyle w:val="4"/>
        <w:keepNext w:val="0"/>
        <w:keepLines w:val="0"/>
        <w:widowControl/>
        <w:spacing w:before="0" w:after="0" w:line="360" w:lineRule="auto"/>
        <w:ind w:firstLine="422" w:firstLineChars="200"/>
        <w:rPr>
          <w:rFonts w:ascii="宋体" w:hAnsi="宋体" w:cs="宋体"/>
          <w:color w:val="auto"/>
          <w:sz w:val="21"/>
          <w:szCs w:val="21"/>
        </w:rPr>
      </w:pPr>
      <w:r>
        <w:rPr>
          <w:rFonts w:hint="eastAsia" w:ascii="宋体" w:hAnsi="宋体" w:cs="宋体"/>
          <w:color w:val="auto"/>
          <w:sz w:val="21"/>
          <w:szCs w:val="21"/>
        </w:rPr>
        <w:t>四、服务要求</w:t>
      </w:r>
    </w:p>
    <w:p w14:paraId="7B0D510C">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供应商提供从前期调研、实地踏勘、文本编制至报批落地的全周期技术服务，具体内容如下：</w:t>
      </w:r>
    </w:p>
    <w:p w14:paraId="543F22EE">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全维度调研摸排：全面归集项目基础资料，实地踏勘院区现场，深度梳理项目建设背景、医院发展规划、场地配套建设条件等基础信息。</w:t>
      </w:r>
    </w:p>
    <w:p w14:paraId="0C3132CF">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规范编制成果文件：严格遵照《政府投资条例》《政府投资项目可行性研究报告编写通用大纲（2023年版）》及江苏省现行投资管理政策编制文本，保证内容完整、编制深度合规。</w:t>
      </w:r>
    </w:p>
    <w:p w14:paraId="20F8D0FC">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根据评审意见迭代优化：依据采购人、省公建中心及各级审批主管部门评审意见及时修改、完善报告内容。</w:t>
      </w:r>
    </w:p>
    <w:p w14:paraId="73B7B168">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全流程报批协调：专人对接省公建中心、省教育厅、省发改委等审批单位，做好汇报、答疑、资料补充等协调工作，确保项目顺利获批。</w:t>
      </w:r>
    </w:p>
    <w:p w14:paraId="43FC39AA">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成果交付：按归档标准交付项目建议书、可研报告纸质文件各 8 份及全套电子档案。</w:t>
      </w:r>
    </w:p>
    <w:p w14:paraId="643A6CA7">
      <w:pPr>
        <w:pStyle w:val="4"/>
        <w:keepNext w:val="0"/>
        <w:keepLines w:val="0"/>
        <w:widowControl/>
        <w:spacing w:before="0" w:after="0" w:line="360" w:lineRule="auto"/>
        <w:ind w:firstLine="422" w:firstLineChars="200"/>
        <w:rPr>
          <w:rFonts w:ascii="宋体" w:hAnsi="宋体" w:cs="宋体"/>
          <w:color w:val="auto"/>
          <w:sz w:val="21"/>
          <w:szCs w:val="21"/>
        </w:rPr>
      </w:pPr>
      <w:r>
        <w:rPr>
          <w:rFonts w:hint="eastAsia" w:ascii="宋体" w:hAnsi="宋体" w:cs="宋体"/>
          <w:color w:val="auto"/>
          <w:sz w:val="21"/>
          <w:szCs w:val="21"/>
        </w:rPr>
        <w:t>五、服务质量与标准</w:t>
      </w:r>
    </w:p>
    <w:p w14:paraId="46EB44AF">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1.编制成果符合国家、江苏省现行法律法规、行业规范及基建审批相关标准。</w:t>
      </w:r>
    </w:p>
    <w:p w14:paraId="55BF96B4">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2.报告编制深度满足国家发展改革委、江苏省教育厅、省级投资审批主管部门管控要求，成果可作为项目立项审批决策依据。</w:t>
      </w:r>
    </w:p>
    <w:p w14:paraId="3D001703">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3.供应商确保编制成果通过主管部门审查，协助采购人取得正式立项批复文件。</w:t>
      </w:r>
    </w:p>
    <w:p w14:paraId="5542FFDA">
      <w:pPr>
        <w:pStyle w:val="4"/>
        <w:keepNext w:val="0"/>
        <w:keepLines w:val="0"/>
        <w:widowControl/>
        <w:spacing w:before="0" w:after="0" w:line="360" w:lineRule="auto"/>
        <w:ind w:firstLine="422" w:firstLineChars="200"/>
        <w:rPr>
          <w:rFonts w:ascii="宋体" w:hAnsi="宋体" w:cs="宋体"/>
          <w:color w:val="auto"/>
          <w:sz w:val="21"/>
          <w:szCs w:val="21"/>
        </w:rPr>
      </w:pPr>
      <w:r>
        <w:rPr>
          <w:rFonts w:hint="eastAsia" w:ascii="宋体" w:hAnsi="宋体" w:cs="宋体"/>
          <w:color w:val="auto"/>
          <w:sz w:val="21"/>
          <w:szCs w:val="21"/>
        </w:rPr>
        <w:t>六、工作方案要求</w:t>
      </w:r>
    </w:p>
    <w:p w14:paraId="1C84A14D">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1.项目理解与总体思路：全面剖析项目建设背景、建设必要性及项目与医院整体规划的适配性；精准罗列项目适用国家、省级行业政策、审批管理规定（省公建中心、教育厅、发改部门管理制度），编制思路逻辑严谨、贴合项目实际建设需求。</w:t>
      </w:r>
    </w:p>
    <w:p w14:paraId="702AFA0C">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2.工作大纲与技术路线</w:t>
      </w:r>
    </w:p>
    <w:p w14:paraId="23849FB0">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项目建议书完整包含总论、建设背景及必要性、选址与建设条件、建设实施方案、节能环保消防、实施组织与工期、投资估算及资金筹措、经济与社会效益、结论建议等法定章节；</w:t>
      </w:r>
    </w:p>
    <w:p w14:paraId="4FCA8B06">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可行性研究报告涵盖总论、市场及诊疗需求分析、工程建设方案、节能环保专项、投资估算与资金筹措、财务评价、社会效益分析、项目风险研判及应对、结论建议等内容；编制技术路线科学合规，深度满足各级行政审批硬性要求。</w:t>
      </w:r>
    </w:p>
    <w:p w14:paraId="139ECC11">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3.进度与质量管控措施：编制精细化进度计划表，明确全周期关键工作节点；建立内部多级审核（二校三审）质量管控体系；针对工期紧凑特点配置充足专业人员、采用多线并行作业模式；落实专人专职对接报批工作，明确批复落地保障举措。</w:t>
      </w:r>
    </w:p>
    <w:p w14:paraId="57616C5C">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4.重难点研判及处置方案：精准锁定项目重难点：投资估算取值合理性、省级多部门报批流程、跨单位审批协调工作等，逐项制定落地性强的实施方案与突发事项应急预案。</w:t>
      </w:r>
    </w:p>
    <w:p w14:paraId="3EAECB14">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rPr>
        <w:t>5.项目人员配置：组建专业化服务团队，配置具备医院改扩建项目同类业绩的项目负责人及专业技术人员，人</w:t>
      </w:r>
      <w:r>
        <w:rPr>
          <w:rFonts w:hint="eastAsia" w:ascii="宋体" w:hAnsi="宋体" w:cs="宋体"/>
          <w:color w:val="auto"/>
          <w:szCs w:val="21"/>
          <w:highlight w:val="none"/>
        </w:rPr>
        <w:t>员专业覆盖建筑、造价、医疗基建、投融资咨询等领域。</w:t>
      </w:r>
    </w:p>
    <w:p w14:paraId="6971C456">
      <w:pPr>
        <w:pStyle w:val="4"/>
        <w:keepNext w:val="0"/>
        <w:keepLines w:val="0"/>
        <w:widowControl/>
        <w:spacing w:before="0" w:after="0" w:line="360" w:lineRule="auto"/>
        <w:ind w:firstLine="422" w:firstLineChars="200"/>
        <w:rPr>
          <w:rFonts w:ascii="宋体" w:hAnsi="宋体" w:cs="宋体"/>
          <w:color w:val="auto"/>
          <w:sz w:val="21"/>
          <w:szCs w:val="21"/>
          <w:highlight w:val="none"/>
        </w:rPr>
      </w:pPr>
      <w:r>
        <w:rPr>
          <w:rFonts w:hint="eastAsia" w:ascii="宋体" w:hAnsi="宋体" w:cs="宋体"/>
          <w:color w:val="auto"/>
          <w:sz w:val="21"/>
          <w:szCs w:val="21"/>
          <w:highlight w:val="none"/>
        </w:rPr>
        <w:t>七、服务团队要求</w:t>
      </w:r>
    </w:p>
    <w:p w14:paraId="67996138">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供应商组建专业化项目专班，人员专业结构配置齐全、从业经验匹配医院基建咨询业务。</w:t>
      </w:r>
    </w:p>
    <w:p w14:paraId="61BEF421">
      <w:pPr>
        <w:pStyle w:val="4"/>
        <w:keepNext w:val="0"/>
        <w:keepLines w:val="0"/>
        <w:widowControl/>
        <w:spacing w:before="0" w:after="0" w:line="360" w:lineRule="auto"/>
        <w:ind w:firstLine="422" w:firstLineChars="200"/>
        <w:rPr>
          <w:rFonts w:ascii="宋体" w:hAnsi="宋体" w:cs="宋体"/>
          <w:color w:val="auto"/>
          <w:sz w:val="21"/>
          <w:szCs w:val="21"/>
          <w:highlight w:val="none"/>
        </w:rPr>
      </w:pPr>
      <w:r>
        <w:rPr>
          <w:rFonts w:hint="eastAsia" w:ascii="宋体" w:hAnsi="宋体" w:cs="宋体"/>
          <w:color w:val="auto"/>
          <w:sz w:val="21"/>
          <w:szCs w:val="21"/>
          <w:highlight w:val="none"/>
        </w:rPr>
        <w:t>八、付款方式</w:t>
      </w:r>
    </w:p>
    <w:p w14:paraId="6102EC56">
      <w:pPr>
        <w:pStyle w:val="4"/>
        <w:keepNext w:val="0"/>
        <w:keepLines w:val="0"/>
        <w:widowControl/>
        <w:spacing w:before="0" w:after="0" w:line="360" w:lineRule="auto"/>
        <w:ind w:firstLine="420" w:firstLineChars="200"/>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1.成交价为合同价款，单个项目经采购人审查通过并获得审批部门正式批复后，提交全套资料</w:t>
      </w:r>
      <w:r>
        <w:rPr>
          <w:rFonts w:hint="eastAsia" w:ascii="宋体" w:hAnsi="宋体" w:cs="宋体"/>
          <w:b w:val="0"/>
          <w:bCs/>
          <w:color w:val="auto"/>
          <w:sz w:val="21"/>
          <w:szCs w:val="21"/>
          <w:highlight w:val="none"/>
          <w:lang w:eastAsia="zh-CN"/>
        </w:rPr>
        <w:t>，支</w:t>
      </w:r>
      <w:r>
        <w:rPr>
          <w:rFonts w:hint="eastAsia" w:ascii="宋体" w:hAnsi="宋体" w:cs="宋体"/>
          <w:b w:val="0"/>
          <w:bCs/>
          <w:color w:val="auto"/>
          <w:sz w:val="21"/>
          <w:szCs w:val="21"/>
          <w:highlight w:val="none"/>
        </w:rPr>
        <w:t>付单个项目合同价的100%；付款前供应商须按要求开具合规增值税发票，付款周期顺延以财政资金实际拨付时间为准。</w:t>
      </w:r>
    </w:p>
    <w:p w14:paraId="29D9C242">
      <w:pPr>
        <w:pStyle w:val="4"/>
        <w:keepNext w:val="0"/>
        <w:keepLines w:val="0"/>
        <w:widowControl/>
        <w:spacing w:before="0" w:after="0" w:line="360" w:lineRule="auto"/>
        <w:ind w:firstLine="420" w:firstLineChars="200"/>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2.供应商已按合同约定提交合格成果且通过采购人内部审核，因采购人规划调整、不可抗力、项目停建等非供应商客观因素无法取得审批批复的，自成果交付满6个月后，采购人支付合同总价80%作为阶段性服务费用；剩余20%尾款待项目重启或终止清算后据实结算，供应商按结算金额分次开具发票。</w:t>
      </w:r>
    </w:p>
    <w:p w14:paraId="3CB77EDD">
      <w:pPr>
        <w:pStyle w:val="4"/>
        <w:keepNext w:val="0"/>
        <w:keepLines w:val="0"/>
        <w:widowControl/>
        <w:spacing w:before="0" w:after="0" w:line="360" w:lineRule="auto"/>
        <w:ind w:firstLine="422" w:firstLineChars="200"/>
        <w:rPr>
          <w:rFonts w:ascii="宋体" w:hAnsi="宋体" w:cs="宋体"/>
          <w:color w:val="auto"/>
          <w:sz w:val="21"/>
          <w:szCs w:val="21"/>
          <w:highlight w:val="none"/>
        </w:rPr>
      </w:pPr>
      <w:r>
        <w:rPr>
          <w:rFonts w:hint="eastAsia" w:ascii="宋体" w:hAnsi="宋体" w:cs="宋体"/>
          <w:color w:val="auto"/>
          <w:sz w:val="21"/>
          <w:szCs w:val="21"/>
          <w:highlight w:val="none"/>
        </w:rPr>
        <w:t>九、知识产权与保密约定</w:t>
      </w:r>
    </w:p>
    <w:p w14:paraId="168A6666">
      <w:pPr>
        <w:widowControl/>
        <w:spacing w:line="360" w:lineRule="auto"/>
        <w:ind w:firstLine="420" w:firstLineChars="200"/>
        <w:rPr>
          <w:rFonts w:ascii="宋体" w:hAnsi="宋体" w:cs="宋体"/>
          <w:color w:val="auto"/>
          <w:szCs w:val="21"/>
        </w:rPr>
      </w:pPr>
      <w:r>
        <w:rPr>
          <w:rFonts w:hint="eastAsia" w:ascii="宋体" w:hAnsi="宋体" w:cs="宋体"/>
          <w:color w:val="auto"/>
          <w:szCs w:val="21"/>
          <w:highlight w:val="none"/>
        </w:rPr>
        <w:t>1.采购人在</w:t>
      </w:r>
      <w:r>
        <w:rPr>
          <w:rFonts w:hint="eastAsia" w:ascii="宋体" w:hAnsi="宋体" w:cs="宋体"/>
          <w:color w:val="auto"/>
          <w:szCs w:val="21"/>
        </w:rPr>
        <w:t>国内使用本项目服务成果，免于遭受第三方知识产权侵权追责；如发生知识产权纠纷，全部法律责任与经济成本由成交供应商承担。</w:t>
      </w:r>
    </w:p>
    <w:p w14:paraId="6A498293">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2.采购人提供的图纸、技术资料、项目需求文件等原始资料著作权归属采购人。</w:t>
      </w:r>
    </w:p>
    <w:p w14:paraId="5E3DE992">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3.供应商为本项目编制的全部建议书、可研报告等成果知识产权归采购人所有。</w:t>
      </w:r>
    </w:p>
    <w:p w14:paraId="2E51E102">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4.供应商对采购人提供的所有内部资料承担永久保密义务，严禁私自转借、外泄。</w:t>
      </w:r>
    </w:p>
    <w:bookmarkEnd w:id="109"/>
    <w:p w14:paraId="302B96C5">
      <w:pPr>
        <w:spacing w:line="360" w:lineRule="auto"/>
        <w:ind w:firstLine="422" w:firstLineChars="200"/>
        <w:rPr>
          <w:rFonts w:ascii="宋体" w:hAnsi="宋体" w:cs="宋体"/>
          <w:b/>
          <w:bCs/>
          <w:i/>
          <w:iCs/>
          <w:color w:val="auto"/>
          <w:szCs w:val="21"/>
          <w:u w:val="single"/>
        </w:rPr>
      </w:pPr>
    </w:p>
    <w:p w14:paraId="19212DE7">
      <w:pPr>
        <w:spacing w:line="360" w:lineRule="auto"/>
        <w:jc w:val="center"/>
        <w:rPr>
          <w:b/>
          <w:bCs/>
          <w:color w:val="auto"/>
          <w:kern w:val="44"/>
          <w:sz w:val="36"/>
          <w:szCs w:val="36"/>
        </w:rPr>
      </w:pPr>
      <w:bookmarkStart w:id="110" w:name="_Toc497145843"/>
      <w:bookmarkStart w:id="111" w:name="_Toc7715"/>
    </w:p>
    <w:p w14:paraId="7608FAE5">
      <w:pPr>
        <w:spacing w:line="360" w:lineRule="auto"/>
        <w:jc w:val="center"/>
        <w:rPr>
          <w:b/>
          <w:bCs/>
          <w:color w:val="auto"/>
          <w:kern w:val="44"/>
          <w:sz w:val="36"/>
          <w:szCs w:val="36"/>
        </w:rPr>
      </w:pPr>
    </w:p>
    <w:p w14:paraId="35476AEF">
      <w:pPr>
        <w:pStyle w:val="2"/>
        <w:rPr>
          <w:color w:val="auto"/>
        </w:rPr>
      </w:pPr>
      <w:bookmarkStart w:id="112" w:name="_Toc17441"/>
      <w:r>
        <w:rPr>
          <w:color w:val="auto"/>
        </w:rPr>
        <w:t>第五章评审方法和评审标准</w:t>
      </w:r>
      <w:bookmarkEnd w:id="110"/>
      <w:bookmarkEnd w:id="111"/>
      <w:bookmarkEnd w:id="112"/>
    </w:p>
    <w:p w14:paraId="48308D25">
      <w:pPr>
        <w:spacing w:line="360" w:lineRule="auto"/>
        <w:ind w:firstLine="422" w:firstLineChars="200"/>
        <w:rPr>
          <w:b/>
          <w:bCs/>
          <w:color w:val="auto"/>
        </w:rPr>
      </w:pPr>
      <w:r>
        <w:rPr>
          <w:b/>
          <w:bCs/>
          <w:color w:val="auto"/>
        </w:rPr>
        <w:t>一、评标方法</w:t>
      </w:r>
    </w:p>
    <w:p w14:paraId="60D5273C">
      <w:pPr>
        <w:spacing w:line="360" w:lineRule="auto"/>
        <w:ind w:firstLine="420" w:firstLineChars="200"/>
        <w:rPr>
          <w:color w:val="auto"/>
        </w:rPr>
      </w:pPr>
      <w:r>
        <w:rPr>
          <w:color w:val="auto"/>
        </w:rPr>
        <w:t>本项目采用综合评分法，评委会将对确定为实质性响应磋商文件要求的响应文件进行评价和比较。评标结果按评审后得分由高到低顺序排列。得分相同的，按响应报价由低到高顺序排列。</w:t>
      </w:r>
      <w:r>
        <w:rPr>
          <w:rFonts w:hint="eastAsia"/>
          <w:color w:val="auto"/>
        </w:rPr>
        <w:t>评审得分且最后报价相同的，按照技术指标优劣顺序推荐。</w:t>
      </w:r>
      <w:r>
        <w:rPr>
          <w:color w:val="auto"/>
        </w:rPr>
        <w:t>响应文件满足磋商文件全部实质性要求，且按照评审因素的量化指标评审得分最高的供应商为排名第一的成交候选人。</w:t>
      </w:r>
    </w:p>
    <w:p w14:paraId="01544B72">
      <w:pPr>
        <w:spacing w:line="360" w:lineRule="auto"/>
        <w:ind w:firstLine="422" w:firstLineChars="200"/>
        <w:rPr>
          <w:b/>
          <w:bCs/>
          <w:color w:val="auto"/>
        </w:rPr>
      </w:pPr>
      <w:r>
        <w:rPr>
          <w:rFonts w:hint="eastAsia"/>
          <w:b/>
          <w:bCs/>
          <w:color w:val="auto"/>
        </w:rPr>
        <w:t>二</w:t>
      </w:r>
      <w:r>
        <w:rPr>
          <w:b/>
          <w:bCs/>
          <w:color w:val="auto"/>
        </w:rPr>
        <w:t>、评分标准</w:t>
      </w:r>
    </w:p>
    <w:tbl>
      <w:tblPr>
        <w:tblStyle w:val="30"/>
        <w:tblW w:w="50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32"/>
        <w:gridCol w:w="8086"/>
      </w:tblGrid>
      <w:tr w14:paraId="59B9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730" w:type="dxa"/>
            <w:noWrap/>
            <w:vAlign w:val="center"/>
          </w:tcPr>
          <w:p w14:paraId="535FF16B">
            <w:pPr>
              <w:spacing w:line="400" w:lineRule="exact"/>
              <w:jc w:val="center"/>
              <w:rPr>
                <w:rFonts w:ascii="宋体" w:hAnsi="宋体" w:cs="宋体"/>
                <w:b/>
                <w:bCs/>
                <w:color w:val="auto"/>
                <w:szCs w:val="21"/>
              </w:rPr>
            </w:pPr>
            <w:bookmarkStart w:id="113" w:name="_Toc497145844"/>
            <w:r>
              <w:rPr>
                <w:rFonts w:hint="eastAsia" w:ascii="宋体" w:hAnsi="宋体" w:cs="宋体"/>
                <w:b/>
                <w:bCs/>
                <w:color w:val="auto"/>
                <w:szCs w:val="21"/>
              </w:rPr>
              <w:t>评审项目</w:t>
            </w:r>
          </w:p>
        </w:tc>
        <w:tc>
          <w:tcPr>
            <w:tcW w:w="8079" w:type="dxa"/>
            <w:noWrap/>
            <w:vAlign w:val="center"/>
          </w:tcPr>
          <w:p w14:paraId="5FA9EF0D">
            <w:pPr>
              <w:spacing w:line="400" w:lineRule="exact"/>
              <w:jc w:val="center"/>
              <w:rPr>
                <w:rFonts w:ascii="宋体" w:hAnsi="宋体" w:cs="宋体"/>
                <w:b/>
                <w:bCs/>
                <w:color w:val="auto"/>
                <w:szCs w:val="21"/>
              </w:rPr>
            </w:pPr>
            <w:r>
              <w:rPr>
                <w:rFonts w:hint="eastAsia" w:ascii="宋体" w:hAnsi="宋体" w:cs="宋体"/>
                <w:b/>
                <w:bCs/>
                <w:color w:val="auto"/>
                <w:szCs w:val="21"/>
              </w:rPr>
              <w:t>评  分  标  准</w:t>
            </w:r>
          </w:p>
        </w:tc>
      </w:tr>
      <w:tr w14:paraId="6AA4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30" w:type="dxa"/>
            <w:noWrap/>
            <w:vAlign w:val="center"/>
          </w:tcPr>
          <w:p w14:paraId="6F3EC4DF">
            <w:pPr>
              <w:spacing w:line="400" w:lineRule="exact"/>
              <w:jc w:val="center"/>
              <w:rPr>
                <w:rFonts w:ascii="宋体" w:hAnsi="宋体" w:cs="宋体"/>
                <w:color w:val="auto"/>
                <w:szCs w:val="21"/>
              </w:rPr>
            </w:pPr>
            <w:r>
              <w:rPr>
                <w:rFonts w:hint="eastAsia" w:ascii="宋体" w:hAnsi="宋体" w:cs="宋体"/>
                <w:color w:val="auto"/>
                <w:szCs w:val="21"/>
              </w:rPr>
              <w:t>价格分</w:t>
            </w:r>
          </w:p>
          <w:p w14:paraId="3B1F985A">
            <w:pPr>
              <w:spacing w:line="400" w:lineRule="exact"/>
              <w:jc w:val="center"/>
              <w:rPr>
                <w:rFonts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30</w:t>
            </w:r>
            <w:r>
              <w:rPr>
                <w:rFonts w:hint="eastAsia" w:ascii="宋体" w:hAnsi="宋体" w:cs="宋体"/>
                <w:color w:val="auto"/>
                <w:szCs w:val="21"/>
              </w:rPr>
              <w:t>分）</w:t>
            </w:r>
          </w:p>
        </w:tc>
        <w:tc>
          <w:tcPr>
            <w:tcW w:w="8079" w:type="dxa"/>
            <w:noWrap/>
            <w:vAlign w:val="center"/>
          </w:tcPr>
          <w:p w14:paraId="441232A5">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bCs/>
                <w:color w:val="auto"/>
                <w:szCs w:val="21"/>
              </w:rPr>
            </w:pPr>
            <w:r>
              <w:rPr>
                <w:rFonts w:hint="eastAsia" w:ascii="宋体" w:hAnsi="宋体" w:cs="宋体"/>
                <w:bCs/>
                <w:color w:val="auto"/>
                <w:szCs w:val="21"/>
              </w:rPr>
              <w:t>价格分统一采用低价优先法计算，即满足磋商文件要求且最后报价最低的供应商的价格为磋商基准价，其价格分为满分</w:t>
            </w:r>
            <w:r>
              <w:rPr>
                <w:rFonts w:hint="eastAsia" w:ascii="宋体" w:hAnsi="宋体" w:cs="宋体"/>
                <w:bCs/>
                <w:color w:val="auto"/>
                <w:szCs w:val="21"/>
                <w:lang w:val="en-US" w:eastAsia="zh-CN"/>
              </w:rPr>
              <w:t>30</w:t>
            </w:r>
            <w:r>
              <w:rPr>
                <w:rFonts w:hint="eastAsia" w:ascii="宋体" w:hAnsi="宋体" w:cs="宋体"/>
                <w:bCs/>
                <w:color w:val="auto"/>
                <w:szCs w:val="21"/>
              </w:rPr>
              <w:t>分。</w:t>
            </w:r>
          </w:p>
          <w:p w14:paraId="32EC4228">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bCs/>
                <w:color w:val="auto"/>
                <w:szCs w:val="21"/>
              </w:rPr>
            </w:pPr>
            <w:r>
              <w:rPr>
                <w:rFonts w:hint="eastAsia" w:ascii="宋体" w:hAnsi="宋体" w:cs="宋体"/>
                <w:bCs/>
                <w:color w:val="auto"/>
                <w:szCs w:val="21"/>
              </w:rPr>
              <w:t>其他供应商的价格分统一按照下列公式计算：</w:t>
            </w:r>
          </w:p>
          <w:p w14:paraId="3DB09FF8">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bCs/>
                <w:color w:val="auto"/>
                <w:szCs w:val="21"/>
                <w:lang w:eastAsia="zh-CN"/>
              </w:rPr>
            </w:pPr>
            <w:r>
              <w:rPr>
                <w:rFonts w:hint="eastAsia" w:ascii="宋体" w:hAnsi="宋体" w:cs="宋体"/>
                <w:bCs/>
                <w:color w:val="auto"/>
                <w:szCs w:val="21"/>
              </w:rPr>
              <w:t>磋商报价得分=（磋商基准价/最后磋商报价）×</w:t>
            </w:r>
            <w:r>
              <w:rPr>
                <w:rFonts w:hint="eastAsia" w:ascii="宋体" w:hAnsi="宋体" w:cs="宋体"/>
                <w:bCs/>
                <w:color w:val="auto"/>
                <w:szCs w:val="21"/>
                <w:lang w:val="en-US" w:eastAsia="zh-CN"/>
              </w:rPr>
              <w:t>30</w:t>
            </w:r>
            <w:r>
              <w:rPr>
                <w:rFonts w:hint="eastAsia" w:ascii="宋体" w:hAnsi="宋体" w:cs="宋体"/>
                <w:bCs/>
                <w:color w:val="auto"/>
                <w:szCs w:val="21"/>
              </w:rPr>
              <w:t>×100%</w:t>
            </w:r>
            <w:r>
              <w:rPr>
                <w:rFonts w:hint="eastAsia" w:ascii="宋体" w:hAnsi="宋体" w:cs="宋体"/>
                <w:bCs/>
                <w:color w:val="auto"/>
                <w:szCs w:val="21"/>
                <w:lang w:eastAsia="zh-CN"/>
              </w:rPr>
              <w:t>（</w:t>
            </w:r>
            <w:r>
              <w:rPr>
                <w:rFonts w:hint="eastAsia" w:ascii="宋体" w:hAnsi="宋体" w:cs="宋体"/>
                <w:bCs/>
                <w:color w:val="auto"/>
                <w:szCs w:val="21"/>
                <w:lang w:val="en-US" w:eastAsia="zh-CN"/>
              </w:rPr>
              <w:t>结果保留两位小数</w:t>
            </w:r>
            <w:bookmarkStart w:id="117" w:name="_GoBack"/>
            <w:bookmarkEnd w:id="117"/>
            <w:r>
              <w:rPr>
                <w:rFonts w:hint="eastAsia" w:ascii="宋体" w:hAnsi="宋体" w:cs="宋体"/>
                <w:bCs/>
                <w:color w:val="auto"/>
                <w:szCs w:val="21"/>
                <w:lang w:eastAsia="zh-CN"/>
              </w:rPr>
              <w:t>）</w:t>
            </w:r>
          </w:p>
          <w:p w14:paraId="28F3C8D2">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b/>
                <w:color w:val="auto"/>
                <w:szCs w:val="21"/>
              </w:rPr>
            </w:pPr>
            <w:r>
              <w:rPr>
                <w:rFonts w:hint="eastAsia" w:ascii="宋体" w:hAnsi="宋体" w:cs="宋体"/>
                <w:b/>
                <w:color w:val="auto"/>
                <w:szCs w:val="21"/>
              </w:rPr>
              <w:t>磋商评审时出现异常低价时应启动异常低价审查。具体详见本章第三条。</w:t>
            </w:r>
          </w:p>
        </w:tc>
      </w:tr>
      <w:tr w14:paraId="5DCA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30" w:type="dxa"/>
            <w:vMerge w:val="restart"/>
            <w:noWrap/>
            <w:vAlign w:val="center"/>
          </w:tcPr>
          <w:p w14:paraId="60774456">
            <w:pPr>
              <w:spacing w:line="400" w:lineRule="exact"/>
              <w:jc w:val="center"/>
              <w:rPr>
                <w:rFonts w:ascii="宋体" w:hAnsi="宋体" w:cs="宋体"/>
                <w:color w:val="auto"/>
                <w:szCs w:val="21"/>
              </w:rPr>
            </w:pPr>
            <w:r>
              <w:rPr>
                <w:rFonts w:hint="eastAsia" w:ascii="宋体" w:hAnsi="宋体" w:cs="宋体"/>
                <w:color w:val="auto"/>
                <w:szCs w:val="21"/>
              </w:rPr>
              <w:t>实施方案</w:t>
            </w:r>
          </w:p>
          <w:p w14:paraId="30EF9C33">
            <w:pPr>
              <w:spacing w:line="400" w:lineRule="exact"/>
              <w:jc w:val="center"/>
              <w:rPr>
                <w:rFonts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28</w:t>
            </w:r>
            <w:r>
              <w:rPr>
                <w:rFonts w:hint="eastAsia" w:ascii="宋体" w:hAnsi="宋体" w:cs="宋体"/>
                <w:color w:val="auto"/>
                <w:szCs w:val="21"/>
              </w:rPr>
              <w:t>分）</w:t>
            </w:r>
          </w:p>
        </w:tc>
        <w:tc>
          <w:tcPr>
            <w:tcW w:w="8079" w:type="dxa"/>
            <w:noWrap/>
            <w:vAlign w:val="center"/>
          </w:tcPr>
          <w:p w14:paraId="1AE09FF7">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b/>
                <w:bCs/>
                <w:color w:val="auto"/>
                <w:szCs w:val="21"/>
              </w:rPr>
            </w:pPr>
            <w:r>
              <w:rPr>
                <w:rFonts w:hint="eastAsia" w:ascii="宋体" w:hAnsi="宋体" w:cs="宋体"/>
                <w:b/>
                <w:bCs/>
                <w:color w:val="auto"/>
                <w:szCs w:val="21"/>
              </w:rPr>
              <w:t>1.项目理解与总体思路（</w:t>
            </w:r>
            <w:r>
              <w:rPr>
                <w:rFonts w:hint="eastAsia" w:ascii="宋体" w:hAnsi="宋体" w:cs="宋体"/>
                <w:b/>
                <w:bCs/>
                <w:color w:val="auto"/>
                <w:szCs w:val="21"/>
                <w:lang w:val="en-US" w:eastAsia="zh-CN"/>
              </w:rPr>
              <w:t>7</w:t>
            </w:r>
            <w:r>
              <w:rPr>
                <w:rFonts w:hint="eastAsia" w:ascii="宋体" w:hAnsi="宋体" w:cs="宋体"/>
                <w:b/>
                <w:bCs/>
                <w:color w:val="auto"/>
                <w:szCs w:val="21"/>
              </w:rPr>
              <w:t>分）：</w:t>
            </w:r>
          </w:p>
          <w:p w14:paraId="13F90B96">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①对项目背景、建设必要性、与医院总体规划的衔接性分析全面、深入；精准识别并完整列出了适用的关键政策与审批依据（如江苏省公建中心、省教育厅、省发改委相关管理规定）；研究思路清晰、逻辑严谨，完全契合项目深层需求的，得</w:t>
            </w:r>
            <w:r>
              <w:rPr>
                <w:rFonts w:hint="eastAsia" w:ascii="宋体" w:hAnsi="宋体" w:cs="宋体"/>
                <w:color w:val="auto"/>
                <w:szCs w:val="21"/>
                <w:lang w:val="en-US" w:eastAsia="zh-CN"/>
              </w:rPr>
              <w:t>7</w:t>
            </w:r>
            <w:r>
              <w:rPr>
                <w:rFonts w:hint="eastAsia" w:ascii="宋体" w:hAnsi="宋体" w:cs="宋体"/>
                <w:color w:val="auto"/>
                <w:szCs w:val="21"/>
              </w:rPr>
              <w:t>分；</w:t>
            </w:r>
          </w:p>
          <w:p w14:paraId="2EE4CED2">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②对项目理解和政策执行理解较深入、依据较完整、思路清晰，能较好地满足需求的，得</w:t>
            </w:r>
            <w:r>
              <w:rPr>
                <w:rFonts w:hint="eastAsia" w:ascii="宋体" w:hAnsi="宋体" w:cs="宋体"/>
                <w:color w:val="auto"/>
                <w:szCs w:val="21"/>
                <w:lang w:val="en-US" w:eastAsia="zh-CN"/>
              </w:rPr>
              <w:t>5</w:t>
            </w:r>
            <w:r>
              <w:rPr>
                <w:rFonts w:hint="eastAsia" w:ascii="宋体" w:hAnsi="宋体" w:cs="宋体"/>
                <w:color w:val="auto"/>
                <w:szCs w:val="21"/>
              </w:rPr>
              <w:t>分；</w:t>
            </w:r>
          </w:p>
          <w:p w14:paraId="19CCCAA7">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③对项目理解和政策依据分析基本完整，研究思路基本可行，能满足项目基本需求的，得</w:t>
            </w:r>
            <w:r>
              <w:rPr>
                <w:rFonts w:hint="eastAsia" w:ascii="宋体" w:hAnsi="宋体" w:cs="宋体"/>
                <w:color w:val="auto"/>
                <w:szCs w:val="21"/>
                <w:lang w:val="en-US" w:eastAsia="zh-CN"/>
              </w:rPr>
              <w:t>3</w:t>
            </w:r>
            <w:r>
              <w:rPr>
                <w:rFonts w:hint="eastAsia" w:ascii="宋体" w:hAnsi="宋体" w:cs="宋体"/>
                <w:color w:val="auto"/>
                <w:szCs w:val="21"/>
              </w:rPr>
              <w:t>分；</w:t>
            </w:r>
          </w:p>
          <w:p w14:paraId="74B825F6">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color w:val="auto"/>
                <w:szCs w:val="21"/>
              </w:rPr>
            </w:pPr>
            <w:r>
              <w:rPr>
                <w:rFonts w:hint="eastAsia" w:ascii="宋体" w:hAnsi="宋体" w:cs="宋体"/>
                <w:color w:val="auto"/>
                <w:szCs w:val="21"/>
              </w:rPr>
              <w:t>④对项目理解存在偏差、依据有明显缺失、思路模糊，仅部分满足需求的，得</w:t>
            </w:r>
            <w:r>
              <w:rPr>
                <w:rFonts w:hint="eastAsia" w:ascii="宋体" w:hAnsi="宋体" w:cs="宋体"/>
                <w:color w:val="auto"/>
                <w:szCs w:val="21"/>
                <w:lang w:val="en-US" w:eastAsia="zh-CN"/>
              </w:rPr>
              <w:t>2</w:t>
            </w:r>
            <w:r>
              <w:rPr>
                <w:rFonts w:hint="eastAsia" w:ascii="宋体" w:hAnsi="宋体" w:cs="宋体"/>
                <w:color w:val="auto"/>
                <w:szCs w:val="21"/>
              </w:rPr>
              <w:t>分；</w:t>
            </w:r>
          </w:p>
          <w:p w14:paraId="12BDFA4E">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color w:val="auto"/>
                <w:szCs w:val="21"/>
              </w:rPr>
            </w:pPr>
            <w:r>
              <w:rPr>
                <w:rFonts w:hint="eastAsia" w:ascii="宋体" w:hAnsi="宋体" w:cs="宋体"/>
                <w:color w:val="auto"/>
                <w:szCs w:val="21"/>
              </w:rPr>
              <w:t>⑤分析内容空泛，缺乏针对性，研究思路不清晰的，得1分。</w:t>
            </w:r>
          </w:p>
          <w:p w14:paraId="18EBB65F">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color w:val="auto"/>
                <w:szCs w:val="21"/>
              </w:rPr>
            </w:pPr>
            <w:r>
              <w:rPr>
                <w:rFonts w:hint="eastAsia" w:ascii="宋体" w:hAnsi="宋体" w:cs="宋体"/>
                <w:color w:val="auto"/>
                <w:szCs w:val="21"/>
              </w:rPr>
              <w:t>不提供不得分。</w:t>
            </w:r>
          </w:p>
        </w:tc>
      </w:tr>
      <w:tr w14:paraId="1941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30" w:type="dxa"/>
            <w:vMerge w:val="continue"/>
            <w:noWrap/>
            <w:vAlign w:val="center"/>
          </w:tcPr>
          <w:p w14:paraId="20AAEC3F">
            <w:pPr>
              <w:spacing w:line="400" w:lineRule="exact"/>
              <w:jc w:val="center"/>
              <w:rPr>
                <w:rFonts w:ascii="宋体" w:hAnsi="宋体" w:cs="宋体"/>
                <w:color w:val="auto"/>
                <w:szCs w:val="21"/>
              </w:rPr>
            </w:pPr>
          </w:p>
        </w:tc>
        <w:tc>
          <w:tcPr>
            <w:tcW w:w="8079" w:type="dxa"/>
            <w:noWrap/>
            <w:vAlign w:val="center"/>
          </w:tcPr>
          <w:p w14:paraId="072339ED">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b/>
                <w:bCs/>
                <w:color w:val="auto"/>
                <w:szCs w:val="21"/>
              </w:rPr>
            </w:pPr>
            <w:r>
              <w:rPr>
                <w:rFonts w:hint="eastAsia" w:ascii="宋体" w:hAnsi="宋体" w:cs="宋体"/>
                <w:b/>
                <w:bCs/>
                <w:color w:val="auto"/>
                <w:szCs w:val="21"/>
              </w:rPr>
              <w:t>2.工作大纲与技术路线（</w:t>
            </w:r>
            <w:r>
              <w:rPr>
                <w:rFonts w:hint="eastAsia" w:ascii="宋体" w:hAnsi="宋体" w:cs="宋体"/>
                <w:b/>
                <w:bCs/>
                <w:color w:val="auto"/>
                <w:szCs w:val="21"/>
                <w:lang w:val="en-US" w:eastAsia="zh-CN"/>
              </w:rPr>
              <w:t>7</w:t>
            </w:r>
            <w:r>
              <w:rPr>
                <w:rFonts w:hint="eastAsia" w:ascii="宋体" w:hAnsi="宋体" w:cs="宋体"/>
                <w:b/>
                <w:bCs/>
                <w:color w:val="auto"/>
                <w:szCs w:val="21"/>
              </w:rPr>
              <w:t>分）：</w:t>
            </w:r>
          </w:p>
          <w:p w14:paraId="7A4A7270">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color w:val="auto"/>
                <w:szCs w:val="21"/>
              </w:rPr>
            </w:pPr>
            <w:r>
              <w:rPr>
                <w:rFonts w:hint="eastAsia" w:ascii="宋体" w:hAnsi="宋体" w:cs="宋体"/>
                <w:color w:val="auto"/>
                <w:szCs w:val="21"/>
              </w:rPr>
              <w:t>①报告编制大纲完整、科学，必须涵盖且不限于：总论、需求分析、建设方案、节能环保、投资估算与资金筹措、财务分析、社会效益、风险与应对、结论与建议等章节；技术路线先进、方法科学，深度完全满足各级审批要求的，得</w:t>
            </w:r>
            <w:r>
              <w:rPr>
                <w:rFonts w:hint="eastAsia" w:ascii="宋体" w:hAnsi="宋体" w:cs="宋体"/>
                <w:color w:val="auto"/>
                <w:szCs w:val="21"/>
                <w:lang w:val="en-US" w:eastAsia="zh-CN"/>
              </w:rPr>
              <w:t>7</w:t>
            </w:r>
            <w:r>
              <w:rPr>
                <w:rFonts w:hint="eastAsia" w:ascii="宋体" w:hAnsi="宋体" w:cs="宋体"/>
                <w:color w:val="auto"/>
                <w:szCs w:val="21"/>
              </w:rPr>
              <w:t>分；</w:t>
            </w:r>
          </w:p>
          <w:p w14:paraId="447CF6B7">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color w:val="auto"/>
                <w:szCs w:val="21"/>
              </w:rPr>
            </w:pPr>
            <w:r>
              <w:rPr>
                <w:rFonts w:hint="eastAsia" w:ascii="宋体" w:hAnsi="宋体" w:cs="宋体"/>
                <w:color w:val="auto"/>
                <w:szCs w:val="21"/>
              </w:rPr>
              <w:t>②报告编制大纲完整，覆盖核心章节；技术路线清晰合理，深度能够满足主要审批要求的，得</w:t>
            </w:r>
            <w:r>
              <w:rPr>
                <w:rFonts w:hint="eastAsia" w:ascii="宋体" w:hAnsi="宋体" w:cs="宋体"/>
                <w:color w:val="auto"/>
                <w:szCs w:val="21"/>
                <w:lang w:val="en-US" w:eastAsia="zh-CN"/>
              </w:rPr>
              <w:t>5</w:t>
            </w:r>
            <w:r>
              <w:rPr>
                <w:rFonts w:hint="eastAsia" w:ascii="宋体" w:hAnsi="宋体" w:cs="宋体"/>
                <w:color w:val="auto"/>
                <w:szCs w:val="21"/>
              </w:rPr>
              <w:t>分；</w:t>
            </w:r>
          </w:p>
          <w:p w14:paraId="38CDA1B5">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color w:val="auto"/>
                <w:szCs w:val="21"/>
              </w:rPr>
            </w:pPr>
            <w:r>
              <w:rPr>
                <w:rFonts w:hint="eastAsia" w:ascii="宋体" w:hAnsi="宋体" w:cs="宋体"/>
                <w:color w:val="auto"/>
                <w:szCs w:val="21"/>
              </w:rPr>
              <w:t>③报告编制大纲基本完整，技术路线可行，深度基本满足审批要求的，得</w:t>
            </w:r>
            <w:r>
              <w:rPr>
                <w:rFonts w:hint="eastAsia" w:ascii="宋体" w:hAnsi="宋体" w:cs="宋体"/>
                <w:color w:val="auto"/>
                <w:szCs w:val="21"/>
                <w:lang w:val="en-US" w:eastAsia="zh-CN"/>
              </w:rPr>
              <w:t>3</w:t>
            </w:r>
            <w:r>
              <w:rPr>
                <w:rFonts w:hint="eastAsia" w:ascii="宋体" w:hAnsi="宋体" w:cs="宋体"/>
                <w:color w:val="auto"/>
                <w:szCs w:val="21"/>
              </w:rPr>
              <w:t>分；</w:t>
            </w:r>
          </w:p>
          <w:p w14:paraId="005588AD">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color w:val="auto"/>
                <w:szCs w:val="21"/>
              </w:rPr>
            </w:pPr>
            <w:r>
              <w:rPr>
                <w:rFonts w:hint="eastAsia" w:ascii="宋体" w:hAnsi="宋体" w:cs="宋体"/>
                <w:color w:val="auto"/>
                <w:szCs w:val="21"/>
              </w:rPr>
              <w:t>④报告编制大纲有缺项或逻辑不清；技术路线简单、深度不足，仅部分满足审批要求的，得</w:t>
            </w:r>
            <w:r>
              <w:rPr>
                <w:rFonts w:hint="eastAsia" w:ascii="宋体" w:hAnsi="宋体" w:cs="宋体"/>
                <w:color w:val="auto"/>
                <w:szCs w:val="21"/>
                <w:lang w:val="en-US" w:eastAsia="zh-CN"/>
              </w:rPr>
              <w:t>2</w:t>
            </w:r>
            <w:r>
              <w:rPr>
                <w:rFonts w:hint="eastAsia" w:ascii="宋体" w:hAnsi="宋体" w:cs="宋体"/>
                <w:color w:val="auto"/>
                <w:szCs w:val="21"/>
              </w:rPr>
              <w:t>分；</w:t>
            </w:r>
          </w:p>
          <w:p w14:paraId="4F7F9517">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color w:val="auto"/>
                <w:szCs w:val="21"/>
              </w:rPr>
            </w:pPr>
            <w:r>
              <w:rPr>
                <w:rFonts w:hint="eastAsia" w:ascii="宋体" w:hAnsi="宋体" w:cs="宋体"/>
                <w:color w:val="auto"/>
                <w:szCs w:val="21"/>
              </w:rPr>
              <w:t>⑤报告编制大纲严重缺失或混乱；技术路线模糊或错误，无法满足基本审批需求的，得1分；</w:t>
            </w:r>
          </w:p>
          <w:p w14:paraId="7FB217C9">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color w:val="auto"/>
                <w:szCs w:val="21"/>
              </w:rPr>
            </w:pPr>
            <w:r>
              <w:rPr>
                <w:rFonts w:hint="eastAsia" w:ascii="宋体" w:hAnsi="宋体" w:cs="宋体"/>
                <w:color w:val="auto"/>
                <w:szCs w:val="21"/>
              </w:rPr>
              <w:t>不提供不得分。</w:t>
            </w:r>
          </w:p>
        </w:tc>
      </w:tr>
      <w:tr w14:paraId="2453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30" w:type="dxa"/>
            <w:vMerge w:val="continue"/>
            <w:noWrap/>
            <w:vAlign w:val="center"/>
          </w:tcPr>
          <w:p w14:paraId="7D2664B2">
            <w:pPr>
              <w:spacing w:line="400" w:lineRule="exact"/>
              <w:jc w:val="center"/>
              <w:rPr>
                <w:rFonts w:ascii="宋体" w:hAnsi="宋体" w:cs="宋体"/>
                <w:color w:val="auto"/>
                <w:szCs w:val="21"/>
              </w:rPr>
            </w:pPr>
          </w:p>
        </w:tc>
        <w:tc>
          <w:tcPr>
            <w:tcW w:w="8079" w:type="dxa"/>
            <w:noWrap/>
            <w:vAlign w:val="center"/>
          </w:tcPr>
          <w:p w14:paraId="4B58BDC6">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b/>
                <w:bCs/>
                <w:color w:val="auto"/>
                <w:szCs w:val="21"/>
              </w:rPr>
            </w:pPr>
            <w:r>
              <w:rPr>
                <w:rFonts w:hint="eastAsia" w:ascii="宋体" w:hAnsi="宋体" w:cs="宋体"/>
                <w:b/>
                <w:bCs/>
                <w:color w:val="auto"/>
                <w:szCs w:val="21"/>
              </w:rPr>
              <w:t>3.质量、进度保证措施（</w:t>
            </w:r>
            <w:r>
              <w:rPr>
                <w:rFonts w:hint="eastAsia" w:ascii="宋体" w:hAnsi="宋体" w:cs="宋体"/>
                <w:b/>
                <w:bCs/>
                <w:color w:val="auto"/>
                <w:szCs w:val="21"/>
                <w:lang w:val="en-US" w:eastAsia="zh-CN"/>
              </w:rPr>
              <w:t>7</w:t>
            </w:r>
            <w:r>
              <w:rPr>
                <w:rFonts w:hint="eastAsia" w:ascii="宋体" w:hAnsi="宋体" w:cs="宋体"/>
                <w:b/>
                <w:bCs/>
                <w:color w:val="auto"/>
                <w:szCs w:val="21"/>
              </w:rPr>
              <w:t>分）：</w:t>
            </w:r>
          </w:p>
          <w:p w14:paraId="157C2098">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①提出明确、详尽的25日历天内完成编制的进度计划表（含各关键节点）；内部质量审核体系健全（如二级校审等）；为应对短周期挑战，配备了充足的人力资源与并行工作方案；对“配合取得批复”有具体的人员对接与时间承诺的，得</w:t>
            </w:r>
            <w:r>
              <w:rPr>
                <w:rFonts w:hint="eastAsia" w:ascii="宋体" w:hAnsi="宋体" w:cs="宋体"/>
                <w:color w:val="auto"/>
                <w:szCs w:val="21"/>
                <w:lang w:val="en-US" w:eastAsia="zh-CN"/>
              </w:rPr>
              <w:t>7</w:t>
            </w:r>
            <w:r>
              <w:rPr>
                <w:rFonts w:hint="eastAsia" w:ascii="宋体" w:hAnsi="宋体" w:cs="宋体"/>
                <w:color w:val="auto"/>
                <w:szCs w:val="21"/>
              </w:rPr>
              <w:t>分；</w:t>
            </w:r>
          </w:p>
          <w:p w14:paraId="680A7485">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②进度计划完整清晰，质控措施得当，资源安排与并行工作思路合理，对“配合取得批复”有较明确的安排的，得</w:t>
            </w:r>
            <w:r>
              <w:rPr>
                <w:rFonts w:hint="eastAsia" w:ascii="宋体" w:hAnsi="宋体" w:cs="宋体"/>
                <w:color w:val="auto"/>
                <w:szCs w:val="21"/>
                <w:lang w:val="en-US" w:eastAsia="zh-CN"/>
              </w:rPr>
              <w:t>5</w:t>
            </w:r>
            <w:r>
              <w:rPr>
                <w:rFonts w:hint="eastAsia" w:ascii="宋体" w:hAnsi="宋体" w:cs="宋体"/>
                <w:color w:val="auto"/>
                <w:szCs w:val="21"/>
              </w:rPr>
              <w:t>分；</w:t>
            </w:r>
          </w:p>
          <w:p w14:paraId="2BC19B3F">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③提供了基本的进度计划与质控措施，能保障项目在25日历天内完成，但并行工作或资源调配方案较为常规，配合批复的承诺较为笼统的，得</w:t>
            </w:r>
            <w:r>
              <w:rPr>
                <w:rFonts w:hint="eastAsia" w:ascii="宋体" w:hAnsi="宋体" w:cs="宋体"/>
                <w:color w:val="auto"/>
                <w:szCs w:val="21"/>
                <w:lang w:val="en-US" w:eastAsia="zh-CN"/>
              </w:rPr>
              <w:t>3</w:t>
            </w:r>
            <w:r>
              <w:rPr>
                <w:rFonts w:hint="eastAsia" w:ascii="宋体" w:hAnsi="宋体" w:cs="宋体"/>
                <w:color w:val="auto"/>
                <w:szCs w:val="21"/>
              </w:rPr>
              <w:t>分；</w:t>
            </w:r>
          </w:p>
          <w:p w14:paraId="0E5DD6F7">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color w:val="auto"/>
                <w:szCs w:val="21"/>
              </w:rPr>
            </w:pPr>
            <w:r>
              <w:rPr>
                <w:rFonts w:hint="eastAsia" w:ascii="宋体" w:hAnsi="宋体" w:cs="宋体"/>
                <w:color w:val="auto"/>
                <w:szCs w:val="21"/>
              </w:rPr>
              <w:t>④进度计划简略或关键节点模糊，质控措施薄弱，资源安排紧张，缺乏有效的并行工作方案，对长期配合的考虑明显不足的，得</w:t>
            </w:r>
            <w:r>
              <w:rPr>
                <w:rFonts w:hint="eastAsia" w:ascii="宋体" w:hAnsi="宋体" w:cs="宋体"/>
                <w:color w:val="auto"/>
                <w:szCs w:val="21"/>
                <w:lang w:val="en-US" w:eastAsia="zh-CN"/>
              </w:rPr>
              <w:t>2</w:t>
            </w:r>
            <w:r>
              <w:rPr>
                <w:rFonts w:hint="eastAsia" w:ascii="宋体" w:hAnsi="宋体" w:cs="宋体"/>
                <w:color w:val="auto"/>
                <w:szCs w:val="21"/>
              </w:rPr>
              <w:t>分；</w:t>
            </w:r>
          </w:p>
          <w:p w14:paraId="5A661B80">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color w:val="auto"/>
                <w:szCs w:val="21"/>
              </w:rPr>
            </w:pPr>
            <w:r>
              <w:rPr>
                <w:rFonts w:hint="eastAsia" w:ascii="宋体" w:hAnsi="宋体" w:cs="宋体"/>
                <w:color w:val="auto"/>
                <w:szCs w:val="21"/>
              </w:rPr>
              <w:t>⑤进度计划缺失或严重不合理，缺乏有效的质量保障措施，无法证明能在要求工期内完成任务的，得1分；</w:t>
            </w:r>
          </w:p>
          <w:p w14:paraId="7AE1F68F">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jc w:val="left"/>
              <w:textAlignment w:val="auto"/>
              <w:rPr>
                <w:rFonts w:ascii="宋体" w:hAnsi="宋体" w:cs="宋体"/>
                <w:color w:val="auto"/>
                <w:szCs w:val="21"/>
              </w:rPr>
            </w:pPr>
            <w:r>
              <w:rPr>
                <w:rFonts w:hint="eastAsia" w:ascii="宋体" w:hAnsi="宋体" w:cs="宋体"/>
                <w:color w:val="auto"/>
                <w:szCs w:val="21"/>
              </w:rPr>
              <w:t>不提供不得分。</w:t>
            </w:r>
          </w:p>
        </w:tc>
      </w:tr>
      <w:tr w14:paraId="5F0F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0" w:hRule="atLeast"/>
          <w:jc w:val="center"/>
        </w:trPr>
        <w:tc>
          <w:tcPr>
            <w:tcW w:w="1730" w:type="dxa"/>
            <w:vMerge w:val="continue"/>
            <w:noWrap/>
            <w:vAlign w:val="center"/>
          </w:tcPr>
          <w:p w14:paraId="1CD1379A">
            <w:pPr>
              <w:spacing w:line="400" w:lineRule="exact"/>
              <w:rPr>
                <w:rFonts w:ascii="宋体" w:hAnsi="宋体" w:cs="宋体"/>
                <w:color w:val="auto"/>
                <w:szCs w:val="21"/>
              </w:rPr>
            </w:pPr>
          </w:p>
        </w:tc>
        <w:tc>
          <w:tcPr>
            <w:tcW w:w="8079" w:type="dxa"/>
            <w:noWrap/>
            <w:vAlign w:val="center"/>
          </w:tcPr>
          <w:p w14:paraId="1FEFFC6E">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b/>
                <w:bCs/>
                <w:color w:val="auto"/>
                <w:szCs w:val="21"/>
              </w:rPr>
            </w:pPr>
            <w:r>
              <w:rPr>
                <w:rFonts w:hint="eastAsia" w:ascii="宋体" w:hAnsi="宋体" w:cs="宋体"/>
                <w:b/>
                <w:bCs/>
                <w:color w:val="auto"/>
                <w:szCs w:val="21"/>
              </w:rPr>
              <w:t>4.重点难点分析与对策（</w:t>
            </w:r>
            <w:r>
              <w:rPr>
                <w:rFonts w:hint="eastAsia" w:ascii="宋体" w:hAnsi="宋体" w:cs="宋体"/>
                <w:b/>
                <w:bCs/>
                <w:color w:val="auto"/>
                <w:szCs w:val="21"/>
                <w:lang w:val="en-US" w:eastAsia="zh-CN"/>
              </w:rPr>
              <w:t>7</w:t>
            </w:r>
            <w:r>
              <w:rPr>
                <w:rFonts w:hint="eastAsia" w:ascii="宋体" w:hAnsi="宋体" w:cs="宋体"/>
                <w:b/>
                <w:bCs/>
                <w:color w:val="auto"/>
                <w:szCs w:val="21"/>
              </w:rPr>
              <w:t>分）：</w:t>
            </w:r>
          </w:p>
          <w:p w14:paraId="50680E51">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①准确识别本项目关键点（如：投资估算的精确性与依据、与省公建中心对接的具体流程、多部门审批协调策略等），并提出具体、可行、针对性强的解决方案与应急预案的，得</w:t>
            </w:r>
            <w:r>
              <w:rPr>
                <w:rFonts w:hint="eastAsia" w:ascii="宋体" w:hAnsi="宋体" w:cs="宋体"/>
                <w:color w:val="auto"/>
                <w:szCs w:val="21"/>
                <w:lang w:val="en-US" w:eastAsia="zh-CN"/>
              </w:rPr>
              <w:t>7</w:t>
            </w:r>
            <w:r>
              <w:rPr>
                <w:rFonts w:hint="eastAsia" w:ascii="宋体" w:hAnsi="宋体" w:cs="宋体"/>
                <w:color w:val="auto"/>
                <w:szCs w:val="21"/>
              </w:rPr>
              <w:t>分；</w:t>
            </w:r>
          </w:p>
          <w:p w14:paraId="492A6A16">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②较为准确地识别了项目的主要难点，提出的对策合理、可行，具备较好的操作性，但在某些细节或预案的周全性上略有不足的，得</w:t>
            </w:r>
            <w:r>
              <w:rPr>
                <w:rFonts w:hint="eastAsia" w:ascii="宋体" w:hAnsi="宋体" w:cs="宋体"/>
                <w:color w:val="auto"/>
                <w:szCs w:val="21"/>
                <w:lang w:val="en-US" w:eastAsia="zh-CN"/>
              </w:rPr>
              <w:t>5</w:t>
            </w:r>
            <w:r>
              <w:rPr>
                <w:rFonts w:hint="eastAsia" w:ascii="宋体" w:hAnsi="宋体" w:cs="宋体"/>
                <w:color w:val="auto"/>
                <w:szCs w:val="21"/>
              </w:rPr>
              <w:t>分；</w:t>
            </w:r>
          </w:p>
          <w:p w14:paraId="60566D1E">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③基本识别了项目存在的重点难点，提出的解决措施基本可行，能应对主要问题，但深度一般，创新性或精细化程度不高的，得</w:t>
            </w:r>
            <w:r>
              <w:rPr>
                <w:rFonts w:hint="eastAsia" w:ascii="宋体" w:hAnsi="宋体" w:cs="宋体"/>
                <w:color w:val="auto"/>
                <w:szCs w:val="21"/>
                <w:lang w:val="en-US" w:eastAsia="zh-CN"/>
              </w:rPr>
              <w:t>3</w:t>
            </w:r>
            <w:r>
              <w:rPr>
                <w:rFonts w:hint="eastAsia" w:ascii="宋体" w:hAnsi="宋体" w:cs="宋体"/>
                <w:color w:val="auto"/>
                <w:szCs w:val="21"/>
              </w:rPr>
              <w:t>分；</w:t>
            </w:r>
          </w:p>
          <w:p w14:paraId="1CACC0E0">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④难点识别不全或分析较为浅显，对策较为笼统、原则化，缺乏针对具体问题的可操作步骤，保障力度不足的，得</w:t>
            </w:r>
            <w:r>
              <w:rPr>
                <w:rFonts w:hint="eastAsia" w:ascii="宋体" w:hAnsi="宋体" w:cs="宋体"/>
                <w:color w:val="auto"/>
                <w:szCs w:val="21"/>
                <w:lang w:val="en-US" w:eastAsia="zh-CN"/>
              </w:rPr>
              <w:t>2</w:t>
            </w:r>
            <w:r>
              <w:rPr>
                <w:rFonts w:hint="eastAsia" w:ascii="宋体" w:hAnsi="宋体" w:cs="宋体"/>
                <w:color w:val="auto"/>
                <w:szCs w:val="21"/>
              </w:rPr>
              <w:t>分；</w:t>
            </w:r>
          </w:p>
          <w:p w14:paraId="21B6201C">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⑤未能抓住项目核心难点，分析空泛或偏离实际，提出的对策缺乏针对性或不可行，无法有效指导项目实施的，得1分；</w:t>
            </w:r>
          </w:p>
          <w:p w14:paraId="3D84EFC5">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不提供不得分。</w:t>
            </w:r>
          </w:p>
        </w:tc>
      </w:tr>
      <w:tr w14:paraId="5D4C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4" w:hRule="atLeast"/>
          <w:jc w:val="center"/>
        </w:trPr>
        <w:tc>
          <w:tcPr>
            <w:tcW w:w="1730" w:type="dxa"/>
            <w:shd w:val="clear" w:color="auto" w:fill="auto"/>
            <w:noWrap/>
            <w:vAlign w:val="center"/>
          </w:tcPr>
          <w:p w14:paraId="3ED5B904">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业绩</w:t>
            </w:r>
          </w:p>
          <w:p w14:paraId="4AE013D9">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8079" w:type="dxa"/>
            <w:shd w:val="clear" w:color="auto" w:fill="auto"/>
            <w:noWrap/>
            <w:vAlign w:val="center"/>
          </w:tcPr>
          <w:p w14:paraId="5772745C">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cs="宋体"/>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供应商自</w:t>
            </w:r>
            <w:r>
              <w:rPr>
                <w:rFonts w:hint="eastAsia" w:asciiTheme="minorEastAsia" w:hAnsiTheme="minorEastAsia" w:eastAsiaTheme="minorEastAsia" w:cstheme="minorEastAsia"/>
                <w:bCs/>
                <w:color w:val="auto"/>
                <w:kern w:val="0"/>
                <w:szCs w:val="21"/>
              </w:rPr>
              <w:t>2022年1月1日以来（以合同签订日期为准）</w:t>
            </w:r>
            <w:r>
              <w:rPr>
                <w:rFonts w:hint="eastAsia" w:ascii="宋体" w:hAnsi="宋体" w:cs="宋体"/>
                <w:color w:val="auto"/>
                <w:szCs w:val="21"/>
              </w:rPr>
              <w:t>承担过与本项目相关的类似业绩，</w:t>
            </w:r>
            <w:r>
              <w:rPr>
                <w:rFonts w:hint="eastAsia" w:asciiTheme="minorEastAsia" w:hAnsiTheme="minorEastAsia" w:eastAsiaTheme="minorEastAsia" w:cstheme="minorEastAsia"/>
                <w:bCs/>
                <w:color w:val="auto"/>
                <w:kern w:val="0"/>
                <w:szCs w:val="21"/>
              </w:rPr>
              <w:t>供应商承担的项目申报过市级发改等主管部门并取得批复的</w:t>
            </w:r>
            <w:r>
              <w:rPr>
                <w:rFonts w:hint="eastAsia" w:ascii="宋体" w:hAnsi="宋体" w:cs="宋体"/>
                <w:color w:val="auto"/>
                <w:szCs w:val="21"/>
              </w:rPr>
              <w:t>每提供一个得2分，最高得</w:t>
            </w:r>
            <w:r>
              <w:rPr>
                <w:rFonts w:hint="eastAsia" w:ascii="宋体" w:hAnsi="宋体" w:cs="宋体"/>
                <w:color w:val="auto"/>
                <w:szCs w:val="21"/>
                <w:lang w:val="en-US" w:eastAsia="zh-CN"/>
              </w:rPr>
              <w:t>4</w:t>
            </w:r>
            <w:r>
              <w:rPr>
                <w:rFonts w:hint="eastAsia" w:ascii="宋体" w:hAnsi="宋体" w:cs="宋体"/>
                <w:color w:val="auto"/>
                <w:szCs w:val="21"/>
              </w:rPr>
              <w:t>分。</w:t>
            </w:r>
          </w:p>
          <w:p w14:paraId="2EB0C916">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Theme="minorEastAsia" w:hAnsiTheme="minorEastAsia" w:eastAsiaTheme="minorEastAsia" w:cstheme="minorEastAsia"/>
                <w:bCs/>
                <w:color w:val="auto"/>
                <w:kern w:val="0"/>
                <w:szCs w:val="21"/>
                <w:lang w:val="en-US" w:eastAsia="zh-CN"/>
              </w:rPr>
            </w:pPr>
            <w:r>
              <w:rPr>
                <w:rFonts w:hint="eastAsia" w:asciiTheme="minorEastAsia" w:hAnsiTheme="minorEastAsia" w:eastAsiaTheme="minorEastAsia" w:cstheme="minorEastAsia"/>
                <w:bCs/>
                <w:color w:val="auto"/>
                <w:kern w:val="0"/>
                <w:szCs w:val="21"/>
                <w:lang w:val="en-US" w:eastAsia="zh-CN"/>
              </w:rPr>
              <w:t>2.</w:t>
            </w:r>
            <w:r>
              <w:rPr>
                <w:rFonts w:hint="eastAsia" w:ascii="宋体" w:hAnsi="宋体" w:cs="宋体"/>
                <w:color w:val="auto"/>
                <w:szCs w:val="21"/>
              </w:rPr>
              <w:t>供应商自</w:t>
            </w:r>
            <w:r>
              <w:rPr>
                <w:rFonts w:hint="eastAsia" w:asciiTheme="minorEastAsia" w:hAnsiTheme="minorEastAsia" w:eastAsiaTheme="minorEastAsia" w:cstheme="minorEastAsia"/>
                <w:bCs/>
                <w:color w:val="auto"/>
                <w:kern w:val="0"/>
                <w:szCs w:val="21"/>
              </w:rPr>
              <w:t>2022年1月1日以来（以合同签订日期为准）</w:t>
            </w:r>
            <w:r>
              <w:rPr>
                <w:rFonts w:hint="eastAsia" w:ascii="宋体" w:hAnsi="宋体" w:cs="宋体"/>
                <w:color w:val="auto"/>
                <w:szCs w:val="21"/>
              </w:rPr>
              <w:t>承担过与本项目相关的类似业绩，</w:t>
            </w:r>
            <w:r>
              <w:rPr>
                <w:rFonts w:hint="eastAsia" w:asciiTheme="minorEastAsia" w:hAnsiTheme="minorEastAsia" w:eastAsiaTheme="minorEastAsia" w:cstheme="minorEastAsia"/>
                <w:bCs/>
                <w:color w:val="auto"/>
                <w:kern w:val="0"/>
                <w:szCs w:val="21"/>
              </w:rPr>
              <w:t>供应商承担的项目申报过省级及以上发改等主管部门并取得批复的</w:t>
            </w:r>
            <w:r>
              <w:rPr>
                <w:rFonts w:hint="eastAsia" w:asciiTheme="minorEastAsia" w:hAnsiTheme="minorEastAsia" w:eastAsiaTheme="minorEastAsia" w:cstheme="minorEastAsia"/>
                <w:bCs/>
                <w:color w:val="auto"/>
                <w:kern w:val="0"/>
                <w:szCs w:val="21"/>
                <w:lang w:val="en-US" w:eastAsia="zh-CN"/>
              </w:rPr>
              <w:t>每提供一个</w:t>
            </w:r>
            <w:r>
              <w:rPr>
                <w:rFonts w:hint="eastAsia" w:asciiTheme="minorEastAsia" w:hAnsiTheme="minorEastAsia" w:eastAsiaTheme="minorEastAsia" w:cstheme="minorEastAsia"/>
                <w:bCs/>
                <w:color w:val="auto"/>
                <w:kern w:val="0"/>
                <w:szCs w:val="21"/>
              </w:rPr>
              <w:t>得3分</w:t>
            </w:r>
            <w:r>
              <w:rPr>
                <w:rFonts w:hint="eastAsia" w:asciiTheme="minorEastAsia" w:hAnsiTheme="minorEastAsia" w:eastAsiaTheme="minorEastAsia" w:cstheme="minorEastAsia"/>
                <w:bCs/>
                <w:color w:val="auto"/>
                <w:kern w:val="0"/>
                <w:szCs w:val="21"/>
                <w:lang w:eastAsia="zh-CN"/>
              </w:rPr>
              <w:t>，</w:t>
            </w:r>
            <w:r>
              <w:rPr>
                <w:rFonts w:hint="eastAsia" w:asciiTheme="minorEastAsia" w:hAnsiTheme="minorEastAsia" w:eastAsiaTheme="minorEastAsia" w:cstheme="minorEastAsia"/>
                <w:bCs/>
                <w:color w:val="auto"/>
                <w:kern w:val="0"/>
                <w:szCs w:val="21"/>
                <w:lang w:val="en-US" w:eastAsia="zh-CN"/>
              </w:rPr>
              <w:t>最高得6分。</w:t>
            </w:r>
          </w:p>
          <w:p w14:paraId="03FF6D5A">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Theme="minorEastAsia" w:hAnsiTheme="minorEastAsia" w:eastAsiaTheme="minorEastAsia" w:cstheme="minorEastAsia"/>
                <w:bCs/>
                <w:color w:val="auto"/>
                <w:kern w:val="0"/>
                <w:szCs w:val="21"/>
              </w:rPr>
            </w:pPr>
            <w:r>
              <w:rPr>
                <w:rFonts w:hint="eastAsia" w:asciiTheme="minorEastAsia" w:hAnsiTheme="minorEastAsia" w:eastAsiaTheme="minorEastAsia" w:cstheme="minorEastAsia"/>
                <w:bCs/>
                <w:color w:val="auto"/>
                <w:kern w:val="0"/>
                <w:szCs w:val="21"/>
              </w:rPr>
              <w:t>本项满分</w:t>
            </w:r>
            <w:r>
              <w:rPr>
                <w:rFonts w:hint="eastAsia" w:asciiTheme="minorEastAsia" w:hAnsiTheme="minorEastAsia" w:eastAsiaTheme="minorEastAsia" w:cstheme="minorEastAsia"/>
                <w:bCs/>
                <w:color w:val="auto"/>
                <w:kern w:val="0"/>
                <w:szCs w:val="21"/>
                <w:lang w:val="en-US" w:eastAsia="zh-CN"/>
              </w:rPr>
              <w:t>10</w:t>
            </w:r>
            <w:r>
              <w:rPr>
                <w:rFonts w:hint="eastAsia" w:asciiTheme="minorEastAsia" w:hAnsiTheme="minorEastAsia" w:eastAsiaTheme="minorEastAsia" w:cstheme="minorEastAsia"/>
                <w:bCs/>
                <w:color w:val="auto"/>
                <w:kern w:val="0"/>
                <w:szCs w:val="21"/>
              </w:rPr>
              <w:t>分。</w:t>
            </w:r>
          </w:p>
          <w:p w14:paraId="11EAB1B5">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eastAsiaTheme="minorEastAsia"/>
                <w:color w:val="auto"/>
                <w:szCs w:val="21"/>
              </w:rPr>
            </w:pPr>
            <w:r>
              <w:rPr>
                <w:rFonts w:hint="eastAsia" w:asciiTheme="minorEastAsia" w:hAnsiTheme="minorEastAsia" w:eastAsiaTheme="minorEastAsia" w:cstheme="minorEastAsia"/>
                <w:b/>
                <w:color w:val="auto"/>
                <w:kern w:val="0"/>
                <w:szCs w:val="21"/>
              </w:rPr>
              <w:t>【提供合同关键页，能清晰体现项目名称、签订时间及服务内容，以及与合同相对应的项目审批确认成果文件（或可研批复等），复印件加盖供应商公章】</w:t>
            </w:r>
          </w:p>
          <w:p w14:paraId="00DC783F">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cs="宋体"/>
                <w:b/>
                <w:bCs/>
                <w:color w:val="auto"/>
                <w:szCs w:val="21"/>
              </w:rPr>
            </w:pPr>
            <w:r>
              <w:rPr>
                <w:rFonts w:hint="eastAsia" w:ascii="宋体" w:hAnsi="宋体" w:cs="宋体"/>
                <w:b/>
                <w:bCs/>
                <w:color w:val="auto"/>
                <w:szCs w:val="21"/>
              </w:rPr>
              <w:t>说明：</w:t>
            </w:r>
          </w:p>
          <w:p w14:paraId="5EBAD9CE">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Theme="minorEastAsia" w:hAnsiTheme="minorEastAsia" w:eastAsiaTheme="minorEastAsia" w:cstheme="minorEastAsia"/>
                <w:bCs/>
                <w:color w:val="auto"/>
                <w:kern w:val="0"/>
                <w:szCs w:val="21"/>
              </w:rPr>
            </w:pPr>
            <w:r>
              <w:rPr>
                <w:rFonts w:hint="eastAsia" w:ascii="宋体" w:hAnsi="宋体" w:cs="宋体"/>
                <w:b/>
                <w:bCs/>
                <w:color w:val="auto"/>
                <w:szCs w:val="21"/>
              </w:rPr>
              <w:t>类似业绩认定标准：</w:t>
            </w:r>
            <w:r>
              <w:rPr>
                <w:rFonts w:hint="eastAsia" w:asciiTheme="minorEastAsia" w:hAnsiTheme="minorEastAsia" w:eastAsiaTheme="minorEastAsia" w:cstheme="minorEastAsia"/>
                <w:b/>
                <w:bCs/>
                <w:color w:val="auto"/>
                <w:kern w:val="0"/>
                <w:szCs w:val="21"/>
              </w:rPr>
              <w:t>供应商承担过公建类项目建议书批复或可行性研究报告编制批复业绩；类似业绩无法认定或缺项的不得分。</w:t>
            </w:r>
          </w:p>
        </w:tc>
      </w:tr>
      <w:tr w14:paraId="49BC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5" w:hRule="atLeast"/>
          <w:jc w:val="center"/>
        </w:trPr>
        <w:tc>
          <w:tcPr>
            <w:tcW w:w="1730" w:type="dxa"/>
            <w:vMerge w:val="restart"/>
            <w:shd w:val="clear" w:color="auto" w:fill="auto"/>
            <w:noWrap/>
            <w:vAlign w:val="center"/>
          </w:tcPr>
          <w:p w14:paraId="2BD4F659">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项目成员</w:t>
            </w:r>
          </w:p>
          <w:p w14:paraId="4E462E19">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分）</w:t>
            </w:r>
          </w:p>
        </w:tc>
        <w:tc>
          <w:tcPr>
            <w:tcW w:w="8079" w:type="dxa"/>
            <w:shd w:val="clear" w:color="auto" w:fill="auto"/>
            <w:noWrap/>
            <w:vAlign w:val="center"/>
          </w:tcPr>
          <w:p w14:paraId="2320D47F">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项目负责人(本项满分7分):</w:t>
            </w:r>
          </w:p>
          <w:p w14:paraId="0A2B4E29">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1.具有咨询工程师(投资)建筑专业证书的得1分</w:t>
            </w:r>
            <w:r>
              <w:rPr>
                <w:rFonts w:hint="eastAsia" w:ascii="宋体" w:hAnsi="宋体" w:eastAsia="宋体" w:cs="宋体"/>
                <w:color w:val="auto"/>
                <w:szCs w:val="21"/>
                <w:highlight w:val="none"/>
                <w:lang w:val="en-US" w:eastAsia="zh-CN"/>
              </w:rPr>
              <w:t>；</w:t>
            </w:r>
          </w:p>
          <w:p w14:paraId="7B1145EF">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2.具有高级及以上职称证书的，得3分，具有中级职称证书的得2分，最高得3分</w:t>
            </w:r>
            <w:r>
              <w:rPr>
                <w:rFonts w:hint="eastAsia" w:ascii="宋体" w:hAnsi="宋体" w:eastAsia="宋体" w:cs="宋体"/>
                <w:color w:val="auto"/>
                <w:szCs w:val="21"/>
                <w:highlight w:val="none"/>
                <w:lang w:val="en-US" w:eastAsia="zh-CN"/>
              </w:rPr>
              <w:t>；</w:t>
            </w:r>
          </w:p>
          <w:p w14:paraId="11256AA0">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3.同时具有建设工程类国家级注册证书，每提供一份证书得1分，最高得3分。</w:t>
            </w:r>
          </w:p>
          <w:p w14:paraId="7CF9BF6A">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(提供相关有效证书复印件和供应商为其缴纳近一年内任意一个月的社会保险证</w:t>
            </w:r>
          </w:p>
          <w:p w14:paraId="654A54B4">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明，复印件加盖供应商公章)。</w:t>
            </w:r>
          </w:p>
        </w:tc>
      </w:tr>
      <w:tr w14:paraId="74D4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2" w:hRule="atLeast"/>
          <w:jc w:val="center"/>
        </w:trPr>
        <w:tc>
          <w:tcPr>
            <w:tcW w:w="1730" w:type="dxa"/>
            <w:vMerge w:val="continue"/>
            <w:shd w:val="clear" w:color="auto" w:fill="auto"/>
            <w:noWrap/>
            <w:vAlign w:val="center"/>
          </w:tcPr>
          <w:p w14:paraId="363F9C4B">
            <w:pPr>
              <w:spacing w:line="400" w:lineRule="exact"/>
              <w:jc w:val="center"/>
              <w:rPr>
                <w:rFonts w:ascii="宋体" w:hAnsi="宋体" w:cs="宋体"/>
                <w:color w:val="auto"/>
                <w:szCs w:val="21"/>
              </w:rPr>
            </w:pPr>
          </w:p>
        </w:tc>
        <w:tc>
          <w:tcPr>
            <w:tcW w:w="8079" w:type="dxa"/>
            <w:shd w:val="clear" w:color="auto" w:fill="auto"/>
            <w:noWrap/>
            <w:vAlign w:val="center"/>
          </w:tcPr>
          <w:p w14:paraId="316B17EB">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项目组其他人员(不含项目负责人)(本项满分21分):</w:t>
            </w:r>
          </w:p>
          <w:p w14:paraId="0CE4888C">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1.具有咨询工程师(投资)建筑专业证书的有一人得1分，最高得6分。</w:t>
            </w:r>
          </w:p>
          <w:p w14:paraId="68F15C6E">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2.上述人员，同时具有以下职称证书或注册资格证书的，按以下加分:(最高得15分).</w:t>
            </w:r>
          </w:p>
          <w:p w14:paraId="54143C98">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(1)具有高级及以上职称证书的有1人得3分，中级职称证书的有1人得2分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最</w:t>
            </w:r>
          </w:p>
          <w:p w14:paraId="4A5A3C71">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高得9分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(同一人员证书以最高等级计取)</w:t>
            </w:r>
          </w:p>
          <w:p w14:paraId="49F4C608">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(2)同时具有建设工程类国家级注册证书，每提供1人得1分，最高得6分</w:t>
            </w:r>
            <w:r>
              <w:rPr>
                <w:rFonts w:hint="eastAsia" w:ascii="宋体" w:hAnsi="宋体" w:eastAsia="宋体" w:cs="宋体"/>
                <w:color w:val="auto"/>
                <w:szCs w:val="21"/>
                <w:highlight w:val="none"/>
                <w:lang w:val="en-US" w:eastAsia="zh-CN"/>
              </w:rPr>
              <w:t>；</w:t>
            </w:r>
          </w:p>
          <w:p w14:paraId="53B4B516">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(提供相关有效证书复印件和供应商为其缴纳近一年内任意一个月的社会保险证</w:t>
            </w:r>
          </w:p>
          <w:p w14:paraId="72A0F79E">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明，复印件加盖供应商公章)。</w:t>
            </w:r>
          </w:p>
        </w:tc>
      </w:tr>
      <w:tr w14:paraId="1413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30" w:type="dxa"/>
            <w:noWrap/>
            <w:vAlign w:val="center"/>
          </w:tcPr>
          <w:p w14:paraId="4125501C">
            <w:pPr>
              <w:spacing w:line="400" w:lineRule="exact"/>
              <w:jc w:val="center"/>
              <w:rPr>
                <w:rFonts w:ascii="宋体" w:hAnsi="宋体" w:cs="宋体"/>
                <w:color w:val="auto"/>
                <w:szCs w:val="21"/>
              </w:rPr>
            </w:pPr>
            <w:r>
              <w:rPr>
                <w:rFonts w:hint="eastAsia" w:ascii="宋体" w:hAnsi="宋体" w:cs="宋体"/>
                <w:color w:val="auto"/>
                <w:szCs w:val="21"/>
              </w:rPr>
              <w:t>企业实力</w:t>
            </w:r>
          </w:p>
          <w:p w14:paraId="50F1E715">
            <w:pPr>
              <w:spacing w:line="400" w:lineRule="exact"/>
              <w:jc w:val="center"/>
              <w:rPr>
                <w:rFonts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4</w:t>
            </w:r>
            <w:r>
              <w:rPr>
                <w:rFonts w:hint="eastAsia" w:ascii="宋体" w:hAnsi="宋体" w:cs="宋体"/>
                <w:color w:val="auto"/>
                <w:szCs w:val="21"/>
              </w:rPr>
              <w:t>分）</w:t>
            </w:r>
          </w:p>
        </w:tc>
        <w:tc>
          <w:tcPr>
            <w:tcW w:w="8079" w:type="dxa"/>
            <w:noWrap/>
          </w:tcPr>
          <w:p w14:paraId="355B49E3">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highlight w:val="none"/>
              </w:rPr>
              <w:t>供应商具有在有效期内的工程咨询单位甲级资信证书的得3分，工程咨询单位乙级资信证书的得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w:t>
            </w:r>
            <w:r>
              <w:rPr>
                <w:rFonts w:hint="eastAsia" w:ascii="宋体" w:hAnsi="宋体" w:cs="宋体"/>
                <w:color w:val="auto"/>
                <w:szCs w:val="21"/>
              </w:rPr>
              <w:t>；本项满分3分。</w:t>
            </w:r>
            <w:r>
              <w:rPr>
                <w:rFonts w:hint="eastAsia" w:ascii="宋体" w:hAnsi="宋体" w:cs="宋体"/>
                <w:b/>
                <w:bCs/>
                <w:color w:val="auto"/>
                <w:szCs w:val="21"/>
              </w:rPr>
              <w:t>（提供</w:t>
            </w:r>
            <w:r>
              <w:rPr>
                <w:rFonts w:hint="eastAsia" w:ascii="宋体" w:hAnsi="宋体" w:cs="宋体"/>
                <w:b/>
                <w:bCs/>
                <w:color w:val="auto"/>
                <w:szCs w:val="21"/>
                <w:lang w:val="en-US" w:eastAsia="zh-CN"/>
              </w:rPr>
              <w:t>有效</w:t>
            </w:r>
            <w:r>
              <w:rPr>
                <w:rFonts w:hint="eastAsia" w:ascii="宋体" w:hAnsi="宋体" w:cs="宋体"/>
                <w:b/>
                <w:bCs/>
                <w:color w:val="auto"/>
                <w:szCs w:val="21"/>
              </w:rPr>
              <w:t>证书复印件并加盖公章）</w:t>
            </w:r>
          </w:p>
          <w:p w14:paraId="035D96C9">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.供应商具有有效的质量管理体系认证证书的得</w:t>
            </w:r>
            <w:r>
              <w:rPr>
                <w:rFonts w:hint="eastAsia" w:ascii="宋体" w:hAnsi="宋体" w:cs="宋体"/>
                <w:color w:val="auto"/>
                <w:szCs w:val="21"/>
                <w:lang w:val="en-US" w:eastAsia="zh-CN"/>
              </w:rPr>
              <w:t>1</w:t>
            </w:r>
            <w:r>
              <w:rPr>
                <w:rFonts w:hint="eastAsia" w:ascii="宋体" w:hAnsi="宋体" w:cs="宋体"/>
                <w:color w:val="auto"/>
                <w:szCs w:val="21"/>
              </w:rPr>
              <w:t>分。</w:t>
            </w:r>
            <w:r>
              <w:rPr>
                <w:rFonts w:hint="eastAsia" w:ascii="宋体" w:hAnsi="宋体" w:cs="宋体"/>
                <w:b/>
                <w:bCs/>
                <w:color w:val="auto"/>
                <w:szCs w:val="21"/>
              </w:rPr>
              <w:t>（提供证书复印件并加盖公章）</w:t>
            </w:r>
          </w:p>
          <w:p w14:paraId="1F886CFB">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textAlignment w:val="auto"/>
              <w:rPr>
                <w:rFonts w:ascii="宋体" w:hAnsi="宋体" w:cs="宋体"/>
                <w:color w:val="auto"/>
                <w:szCs w:val="21"/>
              </w:rPr>
            </w:pPr>
            <w:r>
              <w:rPr>
                <w:rFonts w:hint="eastAsia" w:ascii="宋体" w:hAnsi="宋体" w:cs="宋体"/>
                <w:color w:val="auto"/>
                <w:szCs w:val="21"/>
              </w:rPr>
              <w:t>注：供应商须提供以上有效的证书复印件及在全国认证认可信息公共服务平台的认证信息截图（证书状态必须为“有效”），未按要求提供或提供的证明材料无法认定的不得分；</w:t>
            </w:r>
          </w:p>
        </w:tc>
      </w:tr>
    </w:tbl>
    <w:p w14:paraId="22FEC7EC">
      <w:pPr>
        <w:spacing w:line="360" w:lineRule="auto"/>
        <w:ind w:firstLine="422" w:firstLineChars="200"/>
        <w:rPr>
          <w:rFonts w:ascii="宋体" w:hAnsi="宋体" w:cs="宋体"/>
          <w:b/>
          <w:color w:val="auto"/>
          <w:szCs w:val="21"/>
        </w:rPr>
      </w:pPr>
      <w:r>
        <w:rPr>
          <w:rFonts w:hint="eastAsia" w:ascii="宋体" w:hAnsi="宋体" w:cs="宋体"/>
          <w:b/>
          <w:color w:val="auto"/>
          <w:szCs w:val="21"/>
        </w:rPr>
        <w:t>三、磋商小组启动异常低价投标（响应）审查的情形和具体要求，包括：</w:t>
      </w:r>
    </w:p>
    <w:p w14:paraId="239C9039">
      <w:pPr>
        <w:tabs>
          <w:tab w:val="left" w:pos="1134"/>
        </w:tabs>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（一）评审过程中出现下列情形之一的，磋商小组应当启动异常低价投标（响应）审查程序：</w:t>
      </w:r>
    </w:p>
    <w:p w14:paraId="3ED4269A">
      <w:pPr>
        <w:tabs>
          <w:tab w:val="left" w:pos="900"/>
        </w:tabs>
        <w:spacing w:line="360" w:lineRule="auto"/>
        <w:ind w:firstLine="420" w:firstLineChars="200"/>
        <w:rPr>
          <w:rFonts w:ascii="宋体" w:hAnsi="宋体" w:cs="宋体"/>
          <w:b w:val="0"/>
          <w:bCs w:val="0"/>
          <w:color w:val="auto"/>
          <w:szCs w:val="21"/>
        </w:rPr>
      </w:pPr>
      <w:r>
        <w:rPr>
          <w:rFonts w:hint="eastAsia" w:ascii="宋体" w:hAnsi="宋体" w:cs="宋体"/>
          <w:b w:val="0"/>
          <w:bCs w:val="0"/>
          <w:color w:val="auto"/>
          <w:szCs w:val="21"/>
          <w:lang w:val="en-US" w:eastAsia="zh-CN"/>
        </w:rPr>
        <w:t>1.</w:t>
      </w:r>
      <w:r>
        <w:rPr>
          <w:rFonts w:hint="eastAsia" w:ascii="宋体" w:hAnsi="宋体" w:cs="宋体"/>
          <w:b w:val="0"/>
          <w:bCs w:val="0"/>
          <w:color w:val="auto"/>
          <w:szCs w:val="21"/>
        </w:rPr>
        <w:t>投标（响应）报价低于全部通过符合性审查供应商投标（响应）报价平均值50%的，即投标（响应）报价＜全部通过符合性审查供应商投标（响应）报价平均值×50%；</w:t>
      </w:r>
    </w:p>
    <w:p w14:paraId="3FED6C09">
      <w:pPr>
        <w:tabs>
          <w:tab w:val="left" w:pos="900"/>
        </w:tabs>
        <w:spacing w:line="360" w:lineRule="auto"/>
        <w:ind w:firstLine="420" w:firstLineChars="200"/>
        <w:rPr>
          <w:rFonts w:ascii="宋体" w:hAnsi="宋体" w:cs="宋体"/>
          <w:b w:val="0"/>
          <w:bCs w:val="0"/>
          <w:color w:val="auto"/>
          <w:szCs w:val="21"/>
        </w:rPr>
      </w:pPr>
      <w:r>
        <w:rPr>
          <w:rFonts w:hint="eastAsia" w:ascii="宋体" w:hAnsi="宋体" w:cs="宋体"/>
          <w:b w:val="0"/>
          <w:bCs w:val="0"/>
          <w:color w:val="auto"/>
          <w:szCs w:val="21"/>
          <w:lang w:val="en-US" w:eastAsia="zh-CN"/>
        </w:rPr>
        <w:t>2.</w:t>
      </w:r>
      <w:r>
        <w:rPr>
          <w:rFonts w:hint="eastAsia" w:ascii="宋体" w:hAnsi="宋体" w:cs="宋体"/>
          <w:b w:val="0"/>
          <w:bCs w:val="0"/>
          <w:color w:val="auto"/>
          <w:szCs w:val="21"/>
        </w:rPr>
        <w:t>投标（响应）报价低于通过符合性审查的次低报价供应商投标（响应）报价50%的，即投标（响应）报价＜通过符合性审查的次低报价供应商投标（响应）报价×50%；</w:t>
      </w:r>
    </w:p>
    <w:p w14:paraId="2BCBA20B">
      <w:pPr>
        <w:tabs>
          <w:tab w:val="left" w:pos="900"/>
        </w:tabs>
        <w:spacing w:line="360" w:lineRule="auto"/>
        <w:ind w:firstLine="420" w:firstLineChars="200"/>
        <w:rPr>
          <w:rFonts w:ascii="宋体" w:hAnsi="宋体" w:cs="宋体"/>
          <w:b w:val="0"/>
          <w:bCs w:val="0"/>
          <w:color w:val="auto"/>
          <w:szCs w:val="21"/>
        </w:rPr>
      </w:pPr>
      <w:r>
        <w:rPr>
          <w:rFonts w:hint="eastAsia" w:ascii="宋体" w:hAnsi="宋体" w:cs="宋体"/>
          <w:b w:val="0"/>
          <w:bCs w:val="0"/>
          <w:color w:val="auto"/>
          <w:szCs w:val="21"/>
          <w:lang w:val="en-US" w:eastAsia="zh-CN"/>
        </w:rPr>
        <w:t>3.</w:t>
      </w:r>
      <w:r>
        <w:rPr>
          <w:rFonts w:hint="eastAsia" w:ascii="宋体" w:hAnsi="宋体" w:cs="宋体"/>
          <w:b w:val="0"/>
          <w:bCs w:val="0"/>
          <w:color w:val="auto"/>
          <w:szCs w:val="21"/>
        </w:rPr>
        <w:t>投标（响应）报价低于采购项目最高限价45%的，即投标（响应）报价＜采购项目最高限价×45%；</w:t>
      </w:r>
    </w:p>
    <w:p w14:paraId="24698755">
      <w:pPr>
        <w:tabs>
          <w:tab w:val="left" w:pos="1134"/>
        </w:tabs>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4.磋商小组基于专业判断，认为供应商报价过低，有可能影响产品质量或者不能诚信履约的其他情形。</w:t>
      </w:r>
    </w:p>
    <w:p w14:paraId="50EFC879">
      <w:pPr>
        <w:tabs>
          <w:tab w:val="left" w:pos="1134"/>
        </w:tabs>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（二）磋商小组启动异常低价投标（响应）审查后，属于前述第1项至第4项情形的，应当要求相关供应商在评审现场合理的时间内对投标（响应）价格作出解释</w:t>
      </w:r>
      <w:r>
        <w:rPr>
          <w:rFonts w:hint="eastAsia" w:ascii="宋体" w:hAnsi="宋体" w:cs="宋体"/>
          <w:color w:val="auto"/>
          <w:szCs w:val="21"/>
          <w:lang w:eastAsia="zh-CN"/>
        </w:rPr>
        <w:t>，并</w:t>
      </w:r>
      <w:r>
        <w:rPr>
          <w:rFonts w:hint="eastAsia" w:ascii="宋体" w:hAnsi="宋体" w:cs="宋体"/>
          <w:color w:val="auto"/>
          <w:szCs w:val="21"/>
        </w:rPr>
        <w:t>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3BD015B">
      <w:pPr>
        <w:tabs>
          <w:tab w:val="left" w:pos="1134"/>
        </w:tabs>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0C5F1007">
      <w:pPr>
        <w:tabs>
          <w:tab w:val="left" w:pos="1134"/>
        </w:tabs>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3C6129E5">
      <w:pPr>
        <w:spacing w:line="360" w:lineRule="auto"/>
        <w:ind w:firstLine="420" w:firstLineChars="200"/>
        <w:rPr>
          <w:color w:val="auto"/>
          <w:sz w:val="36"/>
        </w:rPr>
      </w:pPr>
      <w:r>
        <w:rPr>
          <w:rFonts w:hint="eastAsia" w:ascii="宋体" w:hAnsi="宋体" w:cs="宋体"/>
          <w:color w:val="auto"/>
          <w:szCs w:val="21"/>
        </w:rPr>
        <w:t>异常低价投标（响应）审查的启动原因、审查意见和审查结果应当在评审报告中记录，并随供应商提供的相关书面说明及证明材料，以及磋商小组有关互联网浏览、查询历史一并归档。</w:t>
      </w:r>
      <w:r>
        <w:rPr>
          <w:color w:val="auto"/>
          <w:sz w:val="36"/>
        </w:rPr>
        <w:br w:type="page"/>
      </w:r>
      <w:bookmarkStart w:id="114" w:name="_Toc8422"/>
    </w:p>
    <w:p w14:paraId="7359221B">
      <w:pPr>
        <w:pStyle w:val="2"/>
        <w:rPr>
          <w:color w:val="auto"/>
        </w:rPr>
      </w:pPr>
      <w:bookmarkStart w:id="115" w:name="_Toc41"/>
      <w:r>
        <w:rPr>
          <w:rFonts w:hint="eastAsia"/>
          <w:color w:val="auto"/>
        </w:rPr>
        <w:t xml:space="preserve">第六章 </w:t>
      </w:r>
      <w:r>
        <w:rPr>
          <w:color w:val="auto"/>
        </w:rPr>
        <w:t>竞争性磋商响应文件格式</w:t>
      </w:r>
      <w:bookmarkEnd w:id="113"/>
      <w:bookmarkEnd w:id="114"/>
      <w:bookmarkEnd w:id="115"/>
    </w:p>
    <w:p w14:paraId="2F069999">
      <w:pPr>
        <w:jc w:val="center"/>
        <w:rPr>
          <w:b/>
          <w:color w:val="auto"/>
          <w:sz w:val="36"/>
        </w:rPr>
      </w:pPr>
    </w:p>
    <w:p w14:paraId="43C159EE">
      <w:pPr>
        <w:jc w:val="center"/>
        <w:rPr>
          <w:b/>
          <w:color w:val="auto"/>
          <w:szCs w:val="21"/>
        </w:rPr>
      </w:pPr>
    </w:p>
    <w:p w14:paraId="0D14B898">
      <w:pPr>
        <w:spacing w:line="360" w:lineRule="auto"/>
        <w:jc w:val="center"/>
        <w:rPr>
          <w:rFonts w:ascii="宋体" w:hAnsi="宋体" w:cs="Arial"/>
          <w:b/>
          <w:color w:val="auto"/>
          <w:sz w:val="32"/>
          <w:szCs w:val="32"/>
        </w:rPr>
      </w:pPr>
      <w:r>
        <w:rPr>
          <w:rFonts w:hint="eastAsia" w:ascii="宋体" w:hAnsi="宋体" w:cs="Arial"/>
          <w:b/>
          <w:color w:val="auto"/>
          <w:sz w:val="32"/>
          <w:szCs w:val="32"/>
        </w:rPr>
        <w:t>竞争性磋商响应文件</w:t>
      </w:r>
    </w:p>
    <w:p w14:paraId="1920867E">
      <w:pPr>
        <w:spacing w:line="360" w:lineRule="auto"/>
        <w:jc w:val="center"/>
        <w:rPr>
          <w:rFonts w:ascii="宋体" w:hAnsi="宋体" w:cs="Arial"/>
          <w:b/>
          <w:color w:val="auto"/>
          <w:sz w:val="32"/>
          <w:szCs w:val="32"/>
        </w:rPr>
      </w:pPr>
    </w:p>
    <w:p w14:paraId="568D9066">
      <w:pPr>
        <w:spacing w:line="360" w:lineRule="auto"/>
        <w:jc w:val="center"/>
        <w:rPr>
          <w:rFonts w:ascii="宋体" w:hAnsi="宋体" w:cs="Arial"/>
          <w:b/>
          <w:color w:val="auto"/>
          <w:sz w:val="32"/>
          <w:szCs w:val="32"/>
        </w:rPr>
      </w:pPr>
      <w:r>
        <w:rPr>
          <w:rFonts w:hint="eastAsia" w:ascii="宋体" w:hAnsi="宋体" w:cs="Arial"/>
          <w:b/>
          <w:color w:val="auto"/>
          <w:sz w:val="32"/>
          <w:szCs w:val="32"/>
        </w:rPr>
        <w:t>（正本或副本）</w:t>
      </w:r>
    </w:p>
    <w:p w14:paraId="1CD26E73">
      <w:pPr>
        <w:spacing w:line="360" w:lineRule="auto"/>
        <w:rPr>
          <w:rFonts w:ascii="宋体" w:hAnsi="宋体" w:cs="Arial"/>
          <w:bCs/>
          <w:color w:val="auto"/>
          <w:szCs w:val="44"/>
        </w:rPr>
      </w:pPr>
    </w:p>
    <w:p w14:paraId="056669A5">
      <w:pPr>
        <w:spacing w:line="360" w:lineRule="auto"/>
        <w:rPr>
          <w:rFonts w:ascii="宋体" w:hAnsi="宋体" w:cs="Arial"/>
          <w:bCs/>
          <w:color w:val="auto"/>
          <w:szCs w:val="44"/>
        </w:rPr>
      </w:pPr>
    </w:p>
    <w:p w14:paraId="58946993">
      <w:pPr>
        <w:spacing w:line="360" w:lineRule="auto"/>
        <w:ind w:firstLine="960" w:firstLineChars="300"/>
        <w:jc w:val="left"/>
        <w:rPr>
          <w:rFonts w:ascii="宋体" w:hAnsi="宋体" w:cs="Arial"/>
          <w:bCs/>
          <w:color w:val="auto"/>
          <w:sz w:val="32"/>
          <w:szCs w:val="32"/>
        </w:rPr>
      </w:pPr>
    </w:p>
    <w:p w14:paraId="7429728F">
      <w:pPr>
        <w:spacing w:line="360" w:lineRule="auto"/>
        <w:ind w:firstLine="960" w:firstLineChars="300"/>
        <w:jc w:val="left"/>
        <w:rPr>
          <w:rFonts w:ascii="宋体" w:hAnsi="宋体" w:cs="Arial"/>
          <w:bCs/>
          <w:color w:val="auto"/>
          <w:sz w:val="32"/>
          <w:szCs w:val="32"/>
        </w:rPr>
      </w:pPr>
    </w:p>
    <w:p w14:paraId="263EBC1A">
      <w:pPr>
        <w:spacing w:line="360" w:lineRule="auto"/>
        <w:ind w:firstLine="960" w:firstLineChars="300"/>
        <w:jc w:val="left"/>
        <w:rPr>
          <w:rFonts w:ascii="宋体" w:hAnsi="宋体" w:cs="Arial"/>
          <w:bCs/>
          <w:color w:val="auto"/>
          <w:sz w:val="32"/>
          <w:szCs w:val="32"/>
        </w:rPr>
      </w:pPr>
      <w:r>
        <w:rPr>
          <w:rFonts w:hint="eastAsia" w:ascii="宋体" w:hAnsi="宋体" w:cs="Arial"/>
          <w:bCs/>
          <w:color w:val="auto"/>
          <w:sz w:val="32"/>
          <w:szCs w:val="32"/>
        </w:rPr>
        <w:t>项目名称：</w:t>
      </w:r>
    </w:p>
    <w:p w14:paraId="1092C432">
      <w:pPr>
        <w:spacing w:line="360" w:lineRule="auto"/>
        <w:ind w:firstLine="988" w:firstLineChars="309"/>
        <w:jc w:val="left"/>
        <w:rPr>
          <w:rFonts w:ascii="宋体" w:hAnsi="宋体" w:cs="Arial"/>
          <w:bCs/>
          <w:color w:val="auto"/>
          <w:sz w:val="32"/>
          <w:szCs w:val="32"/>
        </w:rPr>
      </w:pPr>
      <w:r>
        <w:rPr>
          <w:rFonts w:hint="eastAsia" w:ascii="宋体" w:hAnsi="宋体" w:cs="Arial"/>
          <w:bCs/>
          <w:color w:val="auto"/>
          <w:sz w:val="32"/>
          <w:szCs w:val="32"/>
        </w:rPr>
        <w:t>项目编号：</w:t>
      </w:r>
    </w:p>
    <w:p w14:paraId="2F4E9990">
      <w:pPr>
        <w:spacing w:line="360" w:lineRule="auto"/>
        <w:ind w:firstLine="988" w:firstLineChars="309"/>
        <w:jc w:val="left"/>
        <w:rPr>
          <w:rFonts w:ascii="宋体" w:hAnsi="宋体" w:cs="Arial"/>
          <w:bCs/>
          <w:color w:val="auto"/>
          <w:sz w:val="32"/>
          <w:szCs w:val="32"/>
        </w:rPr>
      </w:pPr>
      <w:r>
        <w:rPr>
          <w:rFonts w:hint="eastAsia" w:ascii="宋体" w:hAnsi="宋体" w:cs="Arial"/>
          <w:bCs/>
          <w:color w:val="auto"/>
          <w:sz w:val="32"/>
          <w:szCs w:val="32"/>
        </w:rPr>
        <w:t xml:space="preserve">磋商供应商名称：               </w:t>
      </w:r>
    </w:p>
    <w:p w14:paraId="196DE119">
      <w:pPr>
        <w:spacing w:line="360" w:lineRule="auto"/>
        <w:ind w:firstLine="988" w:firstLineChars="309"/>
        <w:jc w:val="left"/>
        <w:rPr>
          <w:rFonts w:ascii="宋体" w:hAnsi="宋体" w:cs="Arial"/>
          <w:bCs/>
          <w:color w:val="auto"/>
          <w:sz w:val="32"/>
          <w:szCs w:val="32"/>
        </w:rPr>
      </w:pPr>
      <w:r>
        <w:rPr>
          <w:rFonts w:hint="eastAsia" w:ascii="宋体" w:hAnsi="宋体" w:cs="Arial"/>
          <w:bCs/>
          <w:color w:val="auto"/>
          <w:sz w:val="32"/>
          <w:szCs w:val="32"/>
        </w:rPr>
        <w:t>磋商供应商地址：</w:t>
      </w:r>
    </w:p>
    <w:p w14:paraId="7E4F99C1">
      <w:pPr>
        <w:spacing w:line="360" w:lineRule="auto"/>
        <w:ind w:firstLine="988" w:firstLineChars="309"/>
        <w:jc w:val="left"/>
        <w:rPr>
          <w:rFonts w:ascii="宋体" w:hAnsi="宋体" w:cs="Arial"/>
          <w:bCs/>
          <w:color w:val="auto"/>
          <w:sz w:val="32"/>
          <w:szCs w:val="32"/>
        </w:rPr>
      </w:pPr>
      <w:r>
        <w:rPr>
          <w:rFonts w:hint="eastAsia" w:ascii="宋体" w:hAnsi="宋体" w:cs="Arial"/>
          <w:bCs/>
          <w:color w:val="auto"/>
          <w:sz w:val="32"/>
          <w:szCs w:val="32"/>
        </w:rPr>
        <w:t>日期：</w:t>
      </w:r>
    </w:p>
    <w:p w14:paraId="25AB8088">
      <w:pPr>
        <w:autoSpaceDE w:val="0"/>
        <w:autoSpaceDN w:val="0"/>
        <w:adjustRightInd w:val="0"/>
        <w:spacing w:line="360" w:lineRule="auto"/>
        <w:rPr>
          <w:b/>
          <w:bCs/>
          <w:color w:val="auto"/>
          <w:sz w:val="28"/>
          <w:szCs w:val="28"/>
          <w:lang w:val="zh-CN"/>
        </w:rPr>
      </w:pPr>
    </w:p>
    <w:p w14:paraId="00256121">
      <w:pPr>
        <w:pStyle w:val="49"/>
        <w:ind w:firstLine="562"/>
        <w:rPr>
          <w:b/>
          <w:bCs/>
          <w:color w:val="auto"/>
          <w:sz w:val="28"/>
          <w:szCs w:val="28"/>
          <w:lang w:val="zh-CN"/>
        </w:rPr>
      </w:pPr>
    </w:p>
    <w:p w14:paraId="3B843FAE">
      <w:pPr>
        <w:autoSpaceDE w:val="0"/>
        <w:autoSpaceDN w:val="0"/>
        <w:adjustRightInd w:val="0"/>
        <w:spacing w:line="360" w:lineRule="auto"/>
        <w:rPr>
          <w:b/>
          <w:bCs/>
          <w:color w:val="auto"/>
          <w:sz w:val="32"/>
          <w:szCs w:val="32"/>
        </w:rPr>
      </w:pPr>
      <w:r>
        <w:rPr>
          <w:b/>
          <w:bCs/>
          <w:color w:val="auto"/>
          <w:sz w:val="32"/>
          <w:szCs w:val="32"/>
          <w:lang w:val="zh-CN"/>
        </w:rPr>
        <w:t>说明：</w:t>
      </w:r>
    </w:p>
    <w:p w14:paraId="00397AC6">
      <w:pPr>
        <w:autoSpaceDE w:val="0"/>
        <w:autoSpaceDN w:val="0"/>
        <w:adjustRightInd w:val="0"/>
        <w:spacing w:line="360" w:lineRule="auto"/>
        <w:ind w:firstLine="707" w:firstLineChars="220"/>
        <w:rPr>
          <w:b/>
          <w:bCs/>
          <w:color w:val="auto"/>
          <w:sz w:val="32"/>
          <w:szCs w:val="32"/>
        </w:rPr>
      </w:pPr>
      <w:r>
        <w:rPr>
          <w:b/>
          <w:bCs/>
          <w:color w:val="auto"/>
          <w:sz w:val="32"/>
          <w:szCs w:val="32"/>
          <w:lang w:val="zh-CN"/>
        </w:rPr>
        <w:t>对本章所有的响应文件格式 ，供应商可根据自身情况进行补充和修改，但补充和修改不得造成与本格式内容有实质性的违背。</w:t>
      </w:r>
    </w:p>
    <w:p w14:paraId="415A7C26">
      <w:pPr>
        <w:spacing w:beforeLines="100" w:afterLines="100"/>
        <w:jc w:val="center"/>
        <w:rPr>
          <w:b/>
          <w:color w:val="auto"/>
          <w:szCs w:val="21"/>
        </w:rPr>
      </w:pPr>
    </w:p>
    <w:p w14:paraId="39838605">
      <w:pPr>
        <w:spacing w:beforeLines="100" w:afterLines="100"/>
        <w:jc w:val="center"/>
        <w:rPr>
          <w:b/>
          <w:color w:val="auto"/>
          <w:szCs w:val="21"/>
        </w:rPr>
      </w:pPr>
    </w:p>
    <w:p w14:paraId="272C437C">
      <w:pPr>
        <w:spacing w:beforeLines="100" w:afterLines="100"/>
        <w:jc w:val="center"/>
        <w:rPr>
          <w:b/>
          <w:color w:val="auto"/>
          <w:szCs w:val="21"/>
        </w:rPr>
      </w:pPr>
    </w:p>
    <w:p w14:paraId="7C94457E">
      <w:pPr>
        <w:spacing w:line="360" w:lineRule="auto"/>
        <w:jc w:val="center"/>
        <w:rPr>
          <w:rFonts w:ascii="宋体" w:hAnsi="宋体" w:cs="宋体"/>
          <w:b/>
          <w:color w:val="auto"/>
          <w:sz w:val="24"/>
          <w:szCs w:val="24"/>
        </w:rPr>
      </w:pPr>
      <w:r>
        <w:rPr>
          <w:rFonts w:hint="eastAsia" w:ascii="宋体" w:hAnsi="宋体" w:cs="宋体"/>
          <w:b/>
          <w:color w:val="auto"/>
          <w:sz w:val="24"/>
          <w:szCs w:val="24"/>
        </w:rPr>
        <w:t>评分索引表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14:paraId="416A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vAlign w:val="center"/>
          </w:tcPr>
          <w:p w14:paraId="1D5AD48A">
            <w:pPr>
              <w:adjustRightInd w:val="0"/>
              <w:snapToGrid w:val="0"/>
              <w:spacing w:after="200" w:line="220" w:lineRule="atLeast"/>
              <w:jc w:val="center"/>
              <w:rPr>
                <w:b/>
                <w:bCs/>
                <w:color w:val="auto"/>
              </w:rPr>
            </w:pPr>
            <w:r>
              <w:rPr>
                <w:b/>
                <w:bCs/>
                <w:color w:val="auto"/>
              </w:rPr>
              <w:t>评分项目</w:t>
            </w:r>
          </w:p>
        </w:tc>
        <w:tc>
          <w:tcPr>
            <w:tcW w:w="3570" w:type="dxa"/>
            <w:tcBorders>
              <w:top w:val="single" w:color="auto" w:sz="4" w:space="0"/>
              <w:left w:val="single" w:color="auto" w:sz="4" w:space="0"/>
              <w:bottom w:val="single" w:color="auto" w:sz="4" w:space="0"/>
              <w:right w:val="single" w:color="auto" w:sz="4" w:space="0"/>
            </w:tcBorders>
            <w:vAlign w:val="center"/>
          </w:tcPr>
          <w:p w14:paraId="7E7C4ACA">
            <w:pPr>
              <w:adjustRightInd w:val="0"/>
              <w:snapToGrid w:val="0"/>
              <w:spacing w:after="200" w:line="220" w:lineRule="atLeast"/>
              <w:jc w:val="center"/>
              <w:rPr>
                <w:b/>
                <w:bCs/>
                <w:color w:val="auto"/>
              </w:rPr>
            </w:pPr>
            <w:r>
              <w:rPr>
                <w:b/>
                <w:bCs/>
                <w:color w:val="auto"/>
              </w:rPr>
              <w:t>在响应文件中的页码位置</w:t>
            </w:r>
          </w:p>
        </w:tc>
      </w:tr>
      <w:tr w14:paraId="5207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0" w:type="dxa"/>
            <w:tcBorders>
              <w:top w:val="single" w:color="auto" w:sz="4" w:space="0"/>
              <w:left w:val="single" w:color="auto" w:sz="4" w:space="0"/>
              <w:bottom w:val="single" w:color="auto" w:sz="4" w:space="0"/>
              <w:right w:val="single" w:color="auto" w:sz="4" w:space="0"/>
            </w:tcBorders>
          </w:tcPr>
          <w:p w14:paraId="4D8A3804">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6CC92304">
            <w:pPr>
              <w:adjustRightInd w:val="0"/>
              <w:snapToGrid w:val="0"/>
              <w:spacing w:after="200" w:line="220" w:lineRule="atLeast"/>
              <w:rPr>
                <w:color w:val="auto"/>
              </w:rPr>
            </w:pPr>
          </w:p>
        </w:tc>
      </w:tr>
      <w:tr w14:paraId="7B37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7160DF43">
            <w:pPr>
              <w:adjustRightInd w:val="0"/>
              <w:snapToGrid w:val="0"/>
              <w:spacing w:after="200" w:line="220" w:lineRule="atLeast"/>
              <w:rPr>
                <w:color w:val="auto"/>
              </w:rPr>
            </w:pPr>
          </w:p>
        </w:tc>
      </w:tr>
      <w:tr w14:paraId="4C92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263D5645">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56B2EBE2">
            <w:pPr>
              <w:adjustRightInd w:val="0"/>
              <w:snapToGrid w:val="0"/>
              <w:spacing w:after="200" w:line="220" w:lineRule="atLeast"/>
              <w:rPr>
                <w:color w:val="auto"/>
              </w:rPr>
            </w:pPr>
          </w:p>
        </w:tc>
      </w:tr>
      <w:tr w14:paraId="6E9E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3B7818D3">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03742F3D">
            <w:pPr>
              <w:adjustRightInd w:val="0"/>
              <w:snapToGrid w:val="0"/>
              <w:spacing w:after="200" w:line="220" w:lineRule="atLeast"/>
              <w:rPr>
                <w:color w:val="auto"/>
              </w:rPr>
            </w:pPr>
          </w:p>
        </w:tc>
      </w:tr>
      <w:tr w14:paraId="08E9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0E089C7D">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42048ACD">
            <w:pPr>
              <w:adjustRightInd w:val="0"/>
              <w:snapToGrid w:val="0"/>
              <w:spacing w:after="200" w:line="220" w:lineRule="atLeast"/>
              <w:rPr>
                <w:color w:val="auto"/>
              </w:rPr>
            </w:pPr>
          </w:p>
        </w:tc>
      </w:tr>
      <w:tr w14:paraId="3C92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1C2EB66D">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148D973B">
            <w:pPr>
              <w:adjustRightInd w:val="0"/>
              <w:snapToGrid w:val="0"/>
              <w:spacing w:after="200" w:line="220" w:lineRule="atLeast"/>
              <w:rPr>
                <w:color w:val="auto"/>
              </w:rPr>
            </w:pPr>
          </w:p>
        </w:tc>
      </w:tr>
      <w:tr w14:paraId="7DB7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0B6BBB05">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6000F098">
            <w:pPr>
              <w:adjustRightInd w:val="0"/>
              <w:snapToGrid w:val="0"/>
              <w:spacing w:after="200" w:line="220" w:lineRule="atLeast"/>
              <w:rPr>
                <w:color w:val="auto"/>
              </w:rPr>
            </w:pPr>
          </w:p>
        </w:tc>
      </w:tr>
      <w:tr w14:paraId="4B15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240EB0D3">
            <w:pPr>
              <w:adjustRightInd w:val="0"/>
              <w:snapToGrid w:val="0"/>
              <w:spacing w:after="200" w:line="220" w:lineRule="atLeast"/>
              <w:rPr>
                <w:color w:val="auto"/>
              </w:rPr>
            </w:pPr>
          </w:p>
        </w:tc>
      </w:tr>
      <w:tr w14:paraId="2B1A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70" w:type="dxa"/>
            <w:tcBorders>
              <w:top w:val="single" w:color="auto" w:sz="4" w:space="0"/>
              <w:left w:val="single" w:color="auto" w:sz="4" w:space="0"/>
              <w:bottom w:val="single" w:color="auto" w:sz="4" w:space="0"/>
              <w:right w:val="single" w:color="auto" w:sz="4" w:space="0"/>
            </w:tcBorders>
          </w:tcPr>
          <w:p w14:paraId="3DB4E04D">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5E448476">
            <w:pPr>
              <w:adjustRightInd w:val="0"/>
              <w:snapToGrid w:val="0"/>
              <w:spacing w:after="200" w:line="220" w:lineRule="atLeast"/>
              <w:rPr>
                <w:color w:val="auto"/>
              </w:rPr>
            </w:pPr>
          </w:p>
        </w:tc>
      </w:tr>
      <w:tr w14:paraId="08B0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670" w:type="dxa"/>
            <w:tcBorders>
              <w:top w:val="single" w:color="auto" w:sz="4" w:space="0"/>
              <w:left w:val="single" w:color="auto" w:sz="4" w:space="0"/>
              <w:bottom w:val="single" w:color="auto" w:sz="4" w:space="0"/>
              <w:right w:val="single" w:color="auto" w:sz="4" w:space="0"/>
            </w:tcBorders>
          </w:tcPr>
          <w:p w14:paraId="0329B10E">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2D78845F">
            <w:pPr>
              <w:adjustRightInd w:val="0"/>
              <w:snapToGrid w:val="0"/>
              <w:spacing w:after="200" w:line="220" w:lineRule="atLeast"/>
              <w:rPr>
                <w:color w:val="auto"/>
              </w:rPr>
            </w:pPr>
          </w:p>
        </w:tc>
      </w:tr>
      <w:tr w14:paraId="1B14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70" w:type="dxa"/>
            <w:tcBorders>
              <w:top w:val="single" w:color="auto" w:sz="4" w:space="0"/>
              <w:left w:val="single" w:color="auto" w:sz="4" w:space="0"/>
              <w:bottom w:val="single" w:color="auto" w:sz="4" w:space="0"/>
              <w:right w:val="single" w:color="auto" w:sz="4" w:space="0"/>
            </w:tcBorders>
          </w:tcPr>
          <w:p w14:paraId="71CB0E5E">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387EA4F1">
            <w:pPr>
              <w:adjustRightInd w:val="0"/>
              <w:snapToGrid w:val="0"/>
              <w:spacing w:after="200" w:line="220" w:lineRule="atLeast"/>
              <w:rPr>
                <w:color w:val="auto"/>
              </w:rPr>
            </w:pPr>
          </w:p>
        </w:tc>
      </w:tr>
      <w:tr w14:paraId="74CB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0" w:type="dxa"/>
            <w:tcBorders>
              <w:top w:val="single" w:color="auto" w:sz="4" w:space="0"/>
              <w:left w:val="single" w:color="auto" w:sz="4" w:space="0"/>
              <w:bottom w:val="single" w:color="auto" w:sz="4" w:space="0"/>
              <w:right w:val="single" w:color="auto" w:sz="4" w:space="0"/>
            </w:tcBorders>
          </w:tcPr>
          <w:p w14:paraId="1E6AE4A9">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07A4C42B">
            <w:pPr>
              <w:adjustRightInd w:val="0"/>
              <w:snapToGrid w:val="0"/>
              <w:spacing w:after="200" w:line="220" w:lineRule="atLeast"/>
              <w:rPr>
                <w:color w:val="auto"/>
              </w:rPr>
            </w:pPr>
          </w:p>
        </w:tc>
      </w:tr>
      <w:tr w14:paraId="1FFC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70" w:type="dxa"/>
            <w:tcBorders>
              <w:top w:val="single" w:color="auto" w:sz="4" w:space="0"/>
              <w:left w:val="single" w:color="auto" w:sz="4" w:space="0"/>
              <w:bottom w:val="single" w:color="auto" w:sz="4" w:space="0"/>
              <w:right w:val="single" w:color="auto" w:sz="4" w:space="0"/>
            </w:tcBorders>
          </w:tcPr>
          <w:p w14:paraId="50AF698C">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6E6F40AE">
            <w:pPr>
              <w:adjustRightInd w:val="0"/>
              <w:snapToGrid w:val="0"/>
              <w:spacing w:after="200" w:line="220" w:lineRule="atLeast"/>
              <w:rPr>
                <w:color w:val="auto"/>
              </w:rPr>
            </w:pPr>
          </w:p>
        </w:tc>
      </w:tr>
      <w:tr w14:paraId="1569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1E06A7E4">
            <w:pPr>
              <w:adjustRightInd w:val="0"/>
              <w:snapToGrid w:val="0"/>
              <w:spacing w:after="200" w:line="220" w:lineRule="atLeast"/>
              <w:rPr>
                <w:color w:val="auto"/>
              </w:rPr>
            </w:pPr>
          </w:p>
        </w:tc>
      </w:tr>
      <w:tr w14:paraId="76AD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3D378B83">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6CD8C839">
            <w:pPr>
              <w:adjustRightInd w:val="0"/>
              <w:snapToGrid w:val="0"/>
              <w:spacing w:after="200" w:line="220" w:lineRule="atLeast"/>
              <w:rPr>
                <w:color w:val="auto"/>
              </w:rPr>
            </w:pPr>
          </w:p>
        </w:tc>
      </w:tr>
      <w:tr w14:paraId="7C4C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76F76DC3">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135F84BF">
            <w:pPr>
              <w:adjustRightInd w:val="0"/>
              <w:snapToGrid w:val="0"/>
              <w:spacing w:after="200" w:line="220" w:lineRule="atLeast"/>
              <w:rPr>
                <w:color w:val="auto"/>
              </w:rPr>
            </w:pPr>
          </w:p>
        </w:tc>
      </w:tr>
      <w:tr w14:paraId="3417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231EACF0">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39E658A4">
            <w:pPr>
              <w:adjustRightInd w:val="0"/>
              <w:snapToGrid w:val="0"/>
              <w:spacing w:after="200" w:line="220" w:lineRule="atLeast"/>
              <w:rPr>
                <w:color w:val="auto"/>
              </w:rPr>
            </w:pPr>
          </w:p>
        </w:tc>
      </w:tr>
      <w:tr w14:paraId="694A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6C70DDA7">
            <w:pPr>
              <w:adjustRightInd w:val="0"/>
              <w:snapToGrid w:val="0"/>
              <w:spacing w:after="200" w:line="220" w:lineRule="atLeast"/>
              <w:rPr>
                <w:color w:val="auto"/>
              </w:rPr>
            </w:pPr>
          </w:p>
        </w:tc>
      </w:tr>
      <w:tr w14:paraId="2273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670" w:type="dxa"/>
            <w:tcBorders>
              <w:top w:val="single" w:color="auto" w:sz="4" w:space="0"/>
              <w:left w:val="single" w:color="auto" w:sz="4" w:space="0"/>
              <w:bottom w:val="single" w:color="auto" w:sz="4" w:space="0"/>
              <w:right w:val="single" w:color="auto" w:sz="4" w:space="0"/>
            </w:tcBorders>
          </w:tcPr>
          <w:p w14:paraId="5075C704">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5A2EFABC">
            <w:pPr>
              <w:adjustRightInd w:val="0"/>
              <w:snapToGrid w:val="0"/>
              <w:spacing w:after="200" w:line="220" w:lineRule="atLeast"/>
              <w:rPr>
                <w:color w:val="auto"/>
              </w:rPr>
            </w:pPr>
          </w:p>
        </w:tc>
      </w:tr>
      <w:tr w14:paraId="2E79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70" w:type="dxa"/>
            <w:tcBorders>
              <w:top w:val="single" w:color="auto" w:sz="4" w:space="0"/>
              <w:left w:val="single" w:color="auto" w:sz="4" w:space="0"/>
              <w:bottom w:val="single" w:color="auto" w:sz="4" w:space="0"/>
              <w:right w:val="single" w:color="auto" w:sz="4" w:space="0"/>
            </w:tcBorders>
          </w:tcPr>
          <w:p w14:paraId="2266F850">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79FEDA86">
            <w:pPr>
              <w:adjustRightInd w:val="0"/>
              <w:snapToGrid w:val="0"/>
              <w:spacing w:after="200" w:line="220" w:lineRule="atLeast"/>
              <w:rPr>
                <w:color w:val="auto"/>
              </w:rPr>
            </w:pPr>
          </w:p>
        </w:tc>
      </w:tr>
    </w:tbl>
    <w:p w14:paraId="4B1161DC">
      <w:pPr>
        <w:rPr>
          <w:color w:val="auto"/>
        </w:rPr>
      </w:pPr>
    </w:p>
    <w:p w14:paraId="347A33E0">
      <w:pPr>
        <w:spacing w:line="360" w:lineRule="auto"/>
        <w:jc w:val="center"/>
        <w:rPr>
          <w:rFonts w:ascii="宋体" w:hAnsi="宋体"/>
          <w:b/>
          <w:bCs/>
          <w:color w:val="auto"/>
          <w:sz w:val="32"/>
          <w:szCs w:val="32"/>
        </w:rPr>
      </w:pPr>
      <w:r>
        <w:rPr>
          <w:b/>
          <w:color w:val="auto"/>
          <w:sz w:val="36"/>
          <w:u w:val="single"/>
        </w:rPr>
        <w:br w:type="page"/>
      </w:r>
      <w:r>
        <w:rPr>
          <w:rFonts w:hint="eastAsia" w:ascii="宋体" w:hAnsi="宋体" w:cs="宋体"/>
          <w:b/>
          <w:color w:val="auto"/>
          <w:sz w:val="24"/>
          <w:szCs w:val="24"/>
        </w:rPr>
        <w:t>响应文件目录</w:t>
      </w:r>
    </w:p>
    <w:p w14:paraId="4836B9B0">
      <w:pPr>
        <w:spacing w:line="360" w:lineRule="auto"/>
        <w:ind w:firstLine="420" w:firstLineChars="200"/>
        <w:rPr>
          <w:rFonts w:ascii="宋体" w:hAnsi="宋体"/>
          <w:color w:val="auto"/>
          <w:szCs w:val="21"/>
        </w:rPr>
      </w:pPr>
    </w:p>
    <w:p w14:paraId="7C9FD5CB">
      <w:pPr>
        <w:spacing w:line="360" w:lineRule="auto"/>
        <w:ind w:firstLine="420" w:firstLineChars="200"/>
        <w:rPr>
          <w:rFonts w:ascii="宋体" w:hAnsi="宋体"/>
          <w:color w:val="auto"/>
          <w:szCs w:val="21"/>
        </w:rPr>
      </w:pPr>
      <w:r>
        <w:rPr>
          <w:rFonts w:hint="eastAsia" w:ascii="宋体" w:hAnsi="宋体"/>
          <w:color w:val="auto"/>
          <w:szCs w:val="21"/>
        </w:rPr>
        <w:t>一、资格性和符合性检查响应对照表</w:t>
      </w:r>
    </w:p>
    <w:p w14:paraId="68D539F9">
      <w:pPr>
        <w:spacing w:line="360" w:lineRule="auto"/>
        <w:ind w:firstLine="422" w:firstLineChars="200"/>
        <w:rPr>
          <w:rFonts w:ascii="宋体" w:hAnsi="宋体"/>
          <w:bCs/>
          <w:color w:val="auto"/>
          <w:szCs w:val="21"/>
        </w:rPr>
      </w:pPr>
      <w:r>
        <w:rPr>
          <w:rFonts w:hint="eastAsia" w:ascii="宋体" w:hAnsi="宋体"/>
          <w:b/>
          <w:bCs/>
          <w:color w:val="auto"/>
          <w:szCs w:val="21"/>
        </w:rPr>
        <w:t>二</w:t>
      </w:r>
      <w:r>
        <w:rPr>
          <w:rFonts w:hint="eastAsia" w:ascii="宋体" w:hAnsi="宋体"/>
          <w:color w:val="auto"/>
          <w:szCs w:val="21"/>
        </w:rPr>
        <w:t>、</w:t>
      </w:r>
      <w:r>
        <w:rPr>
          <w:rFonts w:hint="eastAsia" w:ascii="宋体" w:hAnsi="宋体"/>
          <w:bCs/>
          <w:color w:val="auto"/>
          <w:szCs w:val="21"/>
        </w:rPr>
        <w:t>资信证明文件</w:t>
      </w:r>
    </w:p>
    <w:p w14:paraId="12270866">
      <w:pPr>
        <w:spacing w:line="360" w:lineRule="auto"/>
        <w:ind w:firstLine="420" w:firstLineChars="200"/>
        <w:rPr>
          <w:rFonts w:ascii="宋体" w:hAnsi="宋体"/>
          <w:color w:val="auto"/>
          <w:szCs w:val="21"/>
        </w:rPr>
      </w:pPr>
      <w:r>
        <w:rPr>
          <w:rFonts w:hint="eastAsia" w:ascii="宋体" w:hAnsi="宋体"/>
          <w:color w:val="auto"/>
          <w:szCs w:val="21"/>
        </w:rPr>
        <w:t>三、磋商响应函</w:t>
      </w:r>
    </w:p>
    <w:p w14:paraId="4FBF29F9">
      <w:pPr>
        <w:spacing w:line="360" w:lineRule="auto"/>
        <w:ind w:firstLine="420" w:firstLineChars="200"/>
        <w:rPr>
          <w:rFonts w:ascii="宋体" w:hAnsi="宋体"/>
          <w:color w:val="auto"/>
          <w:szCs w:val="21"/>
        </w:rPr>
      </w:pPr>
      <w:r>
        <w:rPr>
          <w:rFonts w:hint="eastAsia" w:ascii="宋体" w:hAnsi="宋体"/>
          <w:color w:val="auto"/>
          <w:szCs w:val="21"/>
        </w:rPr>
        <w:t>四、资格声明</w:t>
      </w:r>
    </w:p>
    <w:p w14:paraId="7CC66B2C">
      <w:pPr>
        <w:spacing w:line="360" w:lineRule="auto"/>
        <w:ind w:firstLine="420" w:firstLineChars="200"/>
        <w:rPr>
          <w:rFonts w:ascii="宋体" w:hAnsi="宋体"/>
          <w:color w:val="auto"/>
          <w:szCs w:val="21"/>
        </w:rPr>
      </w:pPr>
      <w:r>
        <w:rPr>
          <w:rFonts w:hint="eastAsia" w:ascii="宋体" w:hAnsi="宋体"/>
          <w:color w:val="auto"/>
          <w:szCs w:val="21"/>
        </w:rPr>
        <w:t>五、磋商响应报价表</w:t>
      </w:r>
    </w:p>
    <w:p w14:paraId="2BCD6098">
      <w:pPr>
        <w:spacing w:line="360" w:lineRule="auto"/>
        <w:ind w:firstLine="420" w:firstLineChars="200"/>
        <w:rPr>
          <w:rFonts w:ascii="宋体" w:hAnsi="宋体"/>
          <w:color w:val="auto"/>
          <w:szCs w:val="21"/>
        </w:rPr>
      </w:pPr>
      <w:r>
        <w:rPr>
          <w:rFonts w:hint="eastAsia" w:ascii="宋体" w:hAnsi="宋体"/>
          <w:color w:val="auto"/>
          <w:szCs w:val="21"/>
        </w:rPr>
        <w:t>六、分项报价表</w:t>
      </w:r>
    </w:p>
    <w:p w14:paraId="67CFBA0A">
      <w:pPr>
        <w:spacing w:line="360" w:lineRule="auto"/>
        <w:ind w:firstLine="420" w:firstLineChars="200"/>
        <w:rPr>
          <w:rFonts w:ascii="宋体" w:hAnsi="宋体"/>
          <w:color w:val="auto"/>
          <w:szCs w:val="21"/>
        </w:rPr>
      </w:pPr>
      <w:r>
        <w:rPr>
          <w:rFonts w:hint="eastAsia" w:ascii="宋体" w:hAnsi="宋体"/>
          <w:color w:val="auto"/>
          <w:szCs w:val="21"/>
        </w:rPr>
        <w:t>七、响应偏离表</w:t>
      </w:r>
    </w:p>
    <w:p w14:paraId="49F181AB">
      <w:pPr>
        <w:spacing w:line="360" w:lineRule="auto"/>
        <w:ind w:firstLine="420" w:firstLineChars="200"/>
        <w:rPr>
          <w:rFonts w:ascii="宋体" w:hAnsi="宋体" w:cs="宋体"/>
          <w:color w:val="auto"/>
          <w:szCs w:val="21"/>
        </w:rPr>
      </w:pPr>
      <w:r>
        <w:rPr>
          <w:rFonts w:hint="eastAsia" w:ascii="宋体" w:hAnsi="宋体" w:cs="宋体"/>
          <w:color w:val="auto"/>
          <w:szCs w:val="21"/>
        </w:rPr>
        <w:t>八、人员一览表</w:t>
      </w:r>
    </w:p>
    <w:p w14:paraId="67849623">
      <w:pPr>
        <w:spacing w:line="360" w:lineRule="auto"/>
        <w:ind w:firstLine="420" w:firstLineChars="200"/>
        <w:rPr>
          <w:rFonts w:ascii="宋体" w:hAnsi="宋体" w:cs="宋体"/>
          <w:color w:val="auto"/>
          <w:szCs w:val="21"/>
        </w:rPr>
      </w:pPr>
      <w:r>
        <w:rPr>
          <w:rFonts w:hint="eastAsia" w:ascii="宋体" w:hAnsi="宋体" w:cs="宋体"/>
          <w:color w:val="auto"/>
          <w:szCs w:val="21"/>
        </w:rPr>
        <w:t>九、其他</w:t>
      </w:r>
    </w:p>
    <w:p w14:paraId="487CE26A">
      <w:pPr>
        <w:spacing w:line="360" w:lineRule="auto"/>
        <w:ind w:firstLine="420" w:firstLineChars="200"/>
        <w:rPr>
          <w:rFonts w:ascii="宋体" w:hAnsi="宋体" w:cs="宋体"/>
          <w:color w:val="auto"/>
          <w:szCs w:val="21"/>
        </w:rPr>
      </w:pPr>
      <w:r>
        <w:rPr>
          <w:rFonts w:hint="eastAsia" w:ascii="宋体" w:hAnsi="宋体" w:cs="宋体"/>
          <w:color w:val="auto"/>
          <w:szCs w:val="21"/>
        </w:rPr>
        <w:t>十、主要标的信息</w:t>
      </w:r>
    </w:p>
    <w:p w14:paraId="6147CA82">
      <w:pPr>
        <w:spacing w:line="440" w:lineRule="exact"/>
        <w:ind w:firstLine="480" w:firstLineChars="200"/>
        <w:rPr>
          <w:rFonts w:ascii="宋体" w:hAnsi="宋体"/>
          <w:color w:val="auto"/>
          <w:sz w:val="24"/>
          <w:szCs w:val="21"/>
        </w:rPr>
      </w:pPr>
    </w:p>
    <w:p w14:paraId="4440F8DC">
      <w:pPr>
        <w:spacing w:line="440" w:lineRule="exact"/>
        <w:ind w:firstLine="480" w:firstLineChars="200"/>
        <w:rPr>
          <w:rFonts w:ascii="宋体" w:hAnsi="宋体"/>
          <w:color w:val="auto"/>
          <w:sz w:val="24"/>
          <w:szCs w:val="21"/>
        </w:rPr>
      </w:pPr>
    </w:p>
    <w:p w14:paraId="5E0AB20F">
      <w:pPr>
        <w:spacing w:line="440" w:lineRule="exact"/>
        <w:ind w:firstLine="480" w:firstLineChars="200"/>
        <w:rPr>
          <w:rFonts w:ascii="宋体" w:hAnsi="宋体"/>
          <w:color w:val="auto"/>
          <w:sz w:val="24"/>
          <w:szCs w:val="21"/>
        </w:rPr>
      </w:pPr>
    </w:p>
    <w:p w14:paraId="3E0F68C9">
      <w:pPr>
        <w:spacing w:line="440" w:lineRule="exact"/>
        <w:ind w:firstLine="480" w:firstLineChars="200"/>
        <w:rPr>
          <w:rFonts w:ascii="宋体" w:hAnsi="宋体"/>
          <w:color w:val="auto"/>
          <w:sz w:val="24"/>
          <w:szCs w:val="21"/>
        </w:rPr>
      </w:pPr>
    </w:p>
    <w:p w14:paraId="0584305B">
      <w:pPr>
        <w:spacing w:line="440" w:lineRule="exact"/>
        <w:ind w:firstLine="480" w:firstLineChars="200"/>
        <w:rPr>
          <w:rFonts w:ascii="宋体" w:hAnsi="宋体"/>
          <w:color w:val="auto"/>
          <w:sz w:val="24"/>
          <w:szCs w:val="21"/>
        </w:rPr>
      </w:pPr>
    </w:p>
    <w:p w14:paraId="1B238710">
      <w:pPr>
        <w:spacing w:line="440" w:lineRule="exact"/>
        <w:ind w:firstLine="480" w:firstLineChars="200"/>
        <w:rPr>
          <w:rFonts w:ascii="宋体" w:hAnsi="宋体"/>
          <w:color w:val="auto"/>
          <w:sz w:val="24"/>
          <w:szCs w:val="21"/>
        </w:rPr>
      </w:pPr>
    </w:p>
    <w:p w14:paraId="370E70C9">
      <w:pPr>
        <w:spacing w:line="440" w:lineRule="exact"/>
        <w:ind w:firstLine="480" w:firstLineChars="200"/>
        <w:rPr>
          <w:rFonts w:ascii="宋体" w:hAnsi="宋体"/>
          <w:color w:val="auto"/>
          <w:sz w:val="24"/>
          <w:szCs w:val="21"/>
        </w:rPr>
      </w:pPr>
    </w:p>
    <w:p w14:paraId="23C78A1F">
      <w:pPr>
        <w:spacing w:line="440" w:lineRule="exact"/>
        <w:ind w:firstLine="480" w:firstLineChars="200"/>
        <w:rPr>
          <w:rFonts w:ascii="宋体" w:hAnsi="宋体"/>
          <w:color w:val="auto"/>
          <w:sz w:val="24"/>
          <w:szCs w:val="21"/>
        </w:rPr>
      </w:pPr>
    </w:p>
    <w:p w14:paraId="1204167C">
      <w:pPr>
        <w:spacing w:line="440" w:lineRule="exact"/>
        <w:ind w:firstLine="480" w:firstLineChars="200"/>
        <w:rPr>
          <w:rFonts w:ascii="宋体" w:hAnsi="宋体"/>
          <w:color w:val="auto"/>
          <w:sz w:val="24"/>
          <w:szCs w:val="21"/>
        </w:rPr>
      </w:pPr>
    </w:p>
    <w:p w14:paraId="6DFD96B2">
      <w:pPr>
        <w:spacing w:line="360" w:lineRule="auto"/>
        <w:jc w:val="center"/>
        <w:rPr>
          <w:rFonts w:ascii="宋体" w:hAnsi="宋体"/>
          <w:b/>
          <w:color w:val="auto"/>
          <w:szCs w:val="21"/>
        </w:rPr>
      </w:pPr>
      <w:r>
        <w:rPr>
          <w:rFonts w:hint="eastAsia" w:ascii="黑体" w:hAnsi="黑体" w:eastAsia="黑体"/>
          <w:i/>
          <w:color w:val="auto"/>
          <w:sz w:val="32"/>
          <w:szCs w:val="32"/>
          <w:u w:val="single"/>
        </w:rPr>
        <w:br w:type="page"/>
      </w:r>
      <w:r>
        <w:rPr>
          <w:rFonts w:hint="eastAsia" w:ascii="宋体" w:hAnsi="宋体" w:cs="宋体"/>
          <w:b/>
          <w:color w:val="auto"/>
          <w:sz w:val="24"/>
        </w:rPr>
        <w:t>一、资格性和符合性检查响应对照表</w:t>
      </w:r>
    </w:p>
    <w:p w14:paraId="53326511">
      <w:pPr>
        <w:spacing w:line="360" w:lineRule="auto"/>
        <w:ind w:firstLine="309"/>
        <w:rPr>
          <w:rFonts w:ascii="宋体" w:hAnsi="宋体"/>
          <w:color w:val="auto"/>
          <w:szCs w:val="21"/>
        </w:rPr>
      </w:pPr>
      <w:r>
        <w:rPr>
          <w:rFonts w:hint="eastAsia" w:ascii="宋体" w:hAnsi="宋体"/>
          <w:color w:val="auto"/>
          <w:szCs w:val="21"/>
        </w:rPr>
        <w:t>磋商供应商全称（加盖公章）：</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447"/>
        <w:gridCol w:w="1680"/>
        <w:gridCol w:w="1785"/>
      </w:tblGrid>
      <w:tr w14:paraId="0C02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6929170F">
            <w:pPr>
              <w:snapToGrid w:val="0"/>
              <w:spacing w:line="360" w:lineRule="auto"/>
              <w:jc w:val="center"/>
              <w:rPr>
                <w:rFonts w:ascii="宋体" w:hAnsi="宋体"/>
                <w:color w:val="auto"/>
                <w:szCs w:val="21"/>
              </w:rPr>
            </w:pPr>
            <w:r>
              <w:rPr>
                <w:rFonts w:hint="eastAsia" w:ascii="宋体" w:hAnsi="宋体"/>
                <w:color w:val="auto"/>
                <w:szCs w:val="21"/>
              </w:rPr>
              <w:t>序号</w:t>
            </w:r>
          </w:p>
        </w:tc>
        <w:tc>
          <w:tcPr>
            <w:tcW w:w="5447" w:type="dxa"/>
            <w:noWrap/>
            <w:vAlign w:val="center"/>
          </w:tcPr>
          <w:p w14:paraId="56BED02B">
            <w:pPr>
              <w:snapToGrid w:val="0"/>
              <w:spacing w:line="360" w:lineRule="auto"/>
              <w:jc w:val="center"/>
              <w:rPr>
                <w:rFonts w:ascii="宋体" w:hAnsi="宋体"/>
                <w:color w:val="auto"/>
                <w:szCs w:val="21"/>
              </w:rPr>
            </w:pPr>
            <w:r>
              <w:rPr>
                <w:rFonts w:hint="eastAsia" w:ascii="宋体" w:hAnsi="宋体"/>
                <w:color w:val="auto"/>
                <w:szCs w:val="21"/>
              </w:rPr>
              <w:t>资格和符合性检查响应内容</w:t>
            </w:r>
          </w:p>
        </w:tc>
        <w:tc>
          <w:tcPr>
            <w:tcW w:w="1680" w:type="dxa"/>
            <w:noWrap/>
            <w:vAlign w:val="center"/>
          </w:tcPr>
          <w:p w14:paraId="3F446812">
            <w:pPr>
              <w:snapToGrid w:val="0"/>
              <w:spacing w:line="360" w:lineRule="auto"/>
              <w:jc w:val="center"/>
              <w:rPr>
                <w:rFonts w:ascii="宋体" w:hAnsi="宋体"/>
                <w:color w:val="auto"/>
                <w:szCs w:val="21"/>
              </w:rPr>
            </w:pPr>
            <w:r>
              <w:rPr>
                <w:rFonts w:hint="eastAsia" w:ascii="宋体" w:hAnsi="宋体"/>
                <w:color w:val="auto"/>
                <w:szCs w:val="21"/>
              </w:rPr>
              <w:t>是否响应</w:t>
            </w:r>
          </w:p>
          <w:p w14:paraId="36795C81">
            <w:pPr>
              <w:snapToGrid w:val="0"/>
              <w:spacing w:line="360" w:lineRule="auto"/>
              <w:jc w:val="center"/>
              <w:rPr>
                <w:rFonts w:ascii="宋体" w:hAnsi="宋体"/>
                <w:color w:val="auto"/>
                <w:szCs w:val="21"/>
              </w:rPr>
            </w:pPr>
            <w:r>
              <w:rPr>
                <w:rFonts w:hint="eastAsia" w:ascii="宋体" w:hAnsi="宋体"/>
                <w:color w:val="auto"/>
                <w:szCs w:val="21"/>
              </w:rPr>
              <w:t>（填是或者否）</w:t>
            </w:r>
          </w:p>
        </w:tc>
        <w:tc>
          <w:tcPr>
            <w:tcW w:w="1785" w:type="dxa"/>
            <w:noWrap/>
            <w:vAlign w:val="center"/>
          </w:tcPr>
          <w:p w14:paraId="3B71317E">
            <w:pPr>
              <w:snapToGrid w:val="0"/>
              <w:spacing w:line="360" w:lineRule="auto"/>
              <w:jc w:val="center"/>
              <w:rPr>
                <w:rFonts w:ascii="宋体" w:hAnsi="宋体"/>
                <w:color w:val="auto"/>
                <w:szCs w:val="21"/>
              </w:rPr>
            </w:pPr>
            <w:r>
              <w:rPr>
                <w:rFonts w:hint="eastAsia" w:ascii="宋体" w:hAnsi="宋体"/>
                <w:color w:val="auto"/>
                <w:szCs w:val="21"/>
              </w:rPr>
              <w:t>响应文件中的页码位置</w:t>
            </w:r>
          </w:p>
        </w:tc>
      </w:tr>
      <w:tr w14:paraId="4740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0FB0D0A9">
            <w:pPr>
              <w:spacing w:line="360" w:lineRule="auto"/>
              <w:jc w:val="center"/>
              <w:rPr>
                <w:rFonts w:ascii="宋体" w:hAnsi="宋体"/>
                <w:i/>
                <w:color w:val="auto"/>
                <w:szCs w:val="21"/>
                <w:u w:val="single"/>
              </w:rPr>
            </w:pPr>
            <w:r>
              <w:rPr>
                <w:rFonts w:hint="eastAsia" w:ascii="宋体" w:hAnsi="宋体"/>
                <w:i/>
                <w:color w:val="auto"/>
                <w:szCs w:val="21"/>
                <w:u w:val="single"/>
              </w:rPr>
              <w:t>1</w:t>
            </w:r>
          </w:p>
        </w:tc>
        <w:tc>
          <w:tcPr>
            <w:tcW w:w="5447" w:type="dxa"/>
            <w:noWrap/>
            <w:vAlign w:val="center"/>
          </w:tcPr>
          <w:p w14:paraId="1A1B5F84">
            <w:pPr>
              <w:spacing w:line="360" w:lineRule="auto"/>
              <w:rPr>
                <w:rFonts w:ascii="宋体" w:hAnsi="宋体"/>
                <w:i/>
                <w:iCs/>
                <w:color w:val="auto"/>
                <w:szCs w:val="21"/>
                <w:u w:val="single"/>
              </w:rPr>
            </w:pPr>
          </w:p>
        </w:tc>
        <w:tc>
          <w:tcPr>
            <w:tcW w:w="1680" w:type="dxa"/>
            <w:noWrap/>
            <w:vAlign w:val="center"/>
          </w:tcPr>
          <w:p w14:paraId="448ACBCB">
            <w:pPr>
              <w:spacing w:line="360" w:lineRule="auto"/>
              <w:rPr>
                <w:rFonts w:ascii="宋体" w:hAnsi="宋体"/>
                <w:color w:val="auto"/>
                <w:szCs w:val="21"/>
              </w:rPr>
            </w:pPr>
          </w:p>
        </w:tc>
        <w:tc>
          <w:tcPr>
            <w:tcW w:w="1785" w:type="dxa"/>
            <w:noWrap/>
            <w:vAlign w:val="center"/>
          </w:tcPr>
          <w:p w14:paraId="16130B17">
            <w:pPr>
              <w:spacing w:line="360" w:lineRule="auto"/>
              <w:rPr>
                <w:rFonts w:ascii="宋体" w:hAnsi="宋体"/>
                <w:color w:val="auto"/>
                <w:szCs w:val="21"/>
              </w:rPr>
            </w:pPr>
          </w:p>
        </w:tc>
      </w:tr>
      <w:tr w14:paraId="37F8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6F01910D">
            <w:pPr>
              <w:spacing w:line="360" w:lineRule="auto"/>
              <w:jc w:val="center"/>
              <w:rPr>
                <w:rFonts w:ascii="宋体" w:hAnsi="宋体"/>
                <w:i/>
                <w:color w:val="auto"/>
                <w:szCs w:val="21"/>
                <w:u w:val="single"/>
              </w:rPr>
            </w:pPr>
            <w:r>
              <w:rPr>
                <w:rFonts w:hint="eastAsia" w:ascii="宋体" w:hAnsi="宋体"/>
                <w:i/>
                <w:color w:val="auto"/>
                <w:szCs w:val="21"/>
                <w:u w:val="single"/>
              </w:rPr>
              <w:t>2</w:t>
            </w:r>
          </w:p>
        </w:tc>
        <w:tc>
          <w:tcPr>
            <w:tcW w:w="5447" w:type="dxa"/>
            <w:noWrap/>
            <w:vAlign w:val="center"/>
          </w:tcPr>
          <w:p w14:paraId="09D2A585">
            <w:pPr>
              <w:spacing w:line="360" w:lineRule="auto"/>
              <w:rPr>
                <w:rFonts w:ascii="宋体" w:hAnsi="宋体"/>
                <w:i/>
                <w:iCs/>
                <w:color w:val="auto"/>
                <w:szCs w:val="21"/>
                <w:u w:val="single"/>
              </w:rPr>
            </w:pPr>
          </w:p>
        </w:tc>
        <w:tc>
          <w:tcPr>
            <w:tcW w:w="1680" w:type="dxa"/>
            <w:noWrap/>
            <w:vAlign w:val="center"/>
          </w:tcPr>
          <w:p w14:paraId="0855E6E2">
            <w:pPr>
              <w:spacing w:line="360" w:lineRule="auto"/>
              <w:rPr>
                <w:rFonts w:ascii="宋体" w:hAnsi="宋体"/>
                <w:color w:val="auto"/>
                <w:szCs w:val="21"/>
              </w:rPr>
            </w:pPr>
          </w:p>
        </w:tc>
        <w:tc>
          <w:tcPr>
            <w:tcW w:w="1785" w:type="dxa"/>
            <w:noWrap/>
            <w:vAlign w:val="center"/>
          </w:tcPr>
          <w:p w14:paraId="6111BA6B">
            <w:pPr>
              <w:spacing w:line="360" w:lineRule="auto"/>
              <w:rPr>
                <w:rFonts w:ascii="宋体" w:hAnsi="宋体"/>
                <w:color w:val="auto"/>
                <w:szCs w:val="21"/>
              </w:rPr>
            </w:pPr>
          </w:p>
        </w:tc>
      </w:tr>
      <w:tr w14:paraId="23ED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1A991238">
            <w:pPr>
              <w:spacing w:line="360" w:lineRule="auto"/>
              <w:jc w:val="center"/>
              <w:rPr>
                <w:rFonts w:ascii="宋体" w:hAnsi="宋体"/>
                <w:i/>
                <w:color w:val="auto"/>
                <w:szCs w:val="21"/>
                <w:u w:val="single"/>
              </w:rPr>
            </w:pPr>
            <w:r>
              <w:rPr>
                <w:rFonts w:hint="eastAsia" w:ascii="宋体" w:hAnsi="宋体"/>
                <w:i/>
                <w:color w:val="auto"/>
                <w:szCs w:val="21"/>
                <w:u w:val="single"/>
              </w:rPr>
              <w:t>3</w:t>
            </w:r>
          </w:p>
        </w:tc>
        <w:tc>
          <w:tcPr>
            <w:tcW w:w="5447" w:type="dxa"/>
            <w:noWrap/>
            <w:vAlign w:val="center"/>
          </w:tcPr>
          <w:p w14:paraId="0E8DF586">
            <w:pPr>
              <w:spacing w:line="360" w:lineRule="auto"/>
              <w:rPr>
                <w:rFonts w:ascii="宋体" w:hAnsi="宋体"/>
                <w:i/>
                <w:iCs/>
                <w:color w:val="auto"/>
                <w:szCs w:val="21"/>
                <w:u w:val="single"/>
              </w:rPr>
            </w:pPr>
          </w:p>
        </w:tc>
        <w:tc>
          <w:tcPr>
            <w:tcW w:w="1680" w:type="dxa"/>
            <w:noWrap/>
            <w:vAlign w:val="center"/>
          </w:tcPr>
          <w:p w14:paraId="233F2B00">
            <w:pPr>
              <w:spacing w:line="360" w:lineRule="auto"/>
              <w:rPr>
                <w:rFonts w:ascii="宋体" w:hAnsi="宋体"/>
                <w:color w:val="auto"/>
                <w:szCs w:val="21"/>
              </w:rPr>
            </w:pPr>
          </w:p>
        </w:tc>
        <w:tc>
          <w:tcPr>
            <w:tcW w:w="1785" w:type="dxa"/>
            <w:noWrap/>
            <w:vAlign w:val="center"/>
          </w:tcPr>
          <w:p w14:paraId="71E02787">
            <w:pPr>
              <w:spacing w:line="360" w:lineRule="auto"/>
              <w:rPr>
                <w:rFonts w:ascii="宋体" w:hAnsi="宋体"/>
                <w:color w:val="auto"/>
                <w:szCs w:val="21"/>
              </w:rPr>
            </w:pPr>
          </w:p>
        </w:tc>
      </w:tr>
      <w:tr w14:paraId="27A2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096336A6">
            <w:pPr>
              <w:spacing w:line="360" w:lineRule="auto"/>
              <w:jc w:val="center"/>
              <w:rPr>
                <w:rFonts w:ascii="宋体" w:hAnsi="宋体"/>
                <w:i/>
                <w:color w:val="auto"/>
                <w:szCs w:val="21"/>
                <w:u w:val="single"/>
              </w:rPr>
            </w:pPr>
            <w:r>
              <w:rPr>
                <w:rFonts w:hint="eastAsia" w:ascii="宋体" w:hAnsi="宋体"/>
                <w:i/>
                <w:color w:val="auto"/>
                <w:szCs w:val="21"/>
                <w:u w:val="single"/>
              </w:rPr>
              <w:t>4</w:t>
            </w:r>
          </w:p>
        </w:tc>
        <w:tc>
          <w:tcPr>
            <w:tcW w:w="5447" w:type="dxa"/>
            <w:noWrap/>
            <w:vAlign w:val="center"/>
          </w:tcPr>
          <w:p w14:paraId="25057D9A">
            <w:pPr>
              <w:spacing w:line="360" w:lineRule="auto"/>
              <w:rPr>
                <w:rFonts w:ascii="宋体" w:hAnsi="宋体"/>
                <w:i/>
                <w:iCs/>
                <w:color w:val="auto"/>
                <w:szCs w:val="21"/>
                <w:u w:val="single"/>
              </w:rPr>
            </w:pPr>
          </w:p>
        </w:tc>
        <w:tc>
          <w:tcPr>
            <w:tcW w:w="1680" w:type="dxa"/>
            <w:noWrap/>
            <w:vAlign w:val="center"/>
          </w:tcPr>
          <w:p w14:paraId="1EF44AC5">
            <w:pPr>
              <w:spacing w:line="360" w:lineRule="auto"/>
              <w:rPr>
                <w:rFonts w:ascii="宋体" w:hAnsi="宋体"/>
                <w:color w:val="auto"/>
                <w:szCs w:val="21"/>
              </w:rPr>
            </w:pPr>
          </w:p>
        </w:tc>
        <w:tc>
          <w:tcPr>
            <w:tcW w:w="1785" w:type="dxa"/>
            <w:noWrap/>
            <w:vAlign w:val="center"/>
          </w:tcPr>
          <w:p w14:paraId="6509E912">
            <w:pPr>
              <w:spacing w:line="360" w:lineRule="auto"/>
              <w:rPr>
                <w:rFonts w:ascii="宋体" w:hAnsi="宋体"/>
                <w:color w:val="auto"/>
                <w:szCs w:val="21"/>
              </w:rPr>
            </w:pPr>
          </w:p>
        </w:tc>
      </w:tr>
      <w:tr w14:paraId="5D4C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076C31E8">
            <w:pPr>
              <w:spacing w:line="360" w:lineRule="auto"/>
              <w:jc w:val="center"/>
              <w:rPr>
                <w:rFonts w:ascii="宋体" w:hAnsi="宋体"/>
                <w:i/>
                <w:color w:val="auto"/>
                <w:szCs w:val="21"/>
                <w:u w:val="single"/>
              </w:rPr>
            </w:pPr>
            <w:r>
              <w:rPr>
                <w:rFonts w:hint="eastAsia" w:ascii="宋体" w:hAnsi="宋体"/>
                <w:i/>
                <w:color w:val="auto"/>
                <w:szCs w:val="21"/>
                <w:u w:val="single"/>
              </w:rPr>
              <w:t>5</w:t>
            </w:r>
          </w:p>
        </w:tc>
        <w:tc>
          <w:tcPr>
            <w:tcW w:w="5447" w:type="dxa"/>
            <w:noWrap/>
            <w:vAlign w:val="center"/>
          </w:tcPr>
          <w:p w14:paraId="1ED13474">
            <w:pPr>
              <w:snapToGrid w:val="0"/>
              <w:spacing w:line="360" w:lineRule="auto"/>
              <w:rPr>
                <w:rFonts w:ascii="宋体" w:hAnsi="宋体"/>
                <w:i/>
                <w:iCs/>
                <w:color w:val="auto"/>
                <w:szCs w:val="21"/>
                <w:u w:val="single"/>
              </w:rPr>
            </w:pPr>
          </w:p>
        </w:tc>
        <w:tc>
          <w:tcPr>
            <w:tcW w:w="1680" w:type="dxa"/>
            <w:noWrap/>
            <w:vAlign w:val="center"/>
          </w:tcPr>
          <w:p w14:paraId="5565AFE9">
            <w:pPr>
              <w:spacing w:line="360" w:lineRule="auto"/>
              <w:rPr>
                <w:rFonts w:ascii="宋体" w:hAnsi="宋体"/>
                <w:color w:val="auto"/>
                <w:szCs w:val="21"/>
              </w:rPr>
            </w:pPr>
          </w:p>
        </w:tc>
        <w:tc>
          <w:tcPr>
            <w:tcW w:w="1785" w:type="dxa"/>
            <w:noWrap/>
            <w:vAlign w:val="center"/>
          </w:tcPr>
          <w:p w14:paraId="25FAD319">
            <w:pPr>
              <w:spacing w:line="360" w:lineRule="auto"/>
              <w:rPr>
                <w:rFonts w:ascii="宋体" w:hAnsi="宋体"/>
                <w:color w:val="auto"/>
                <w:szCs w:val="21"/>
              </w:rPr>
            </w:pPr>
          </w:p>
        </w:tc>
      </w:tr>
      <w:tr w14:paraId="5A4F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603A1A68">
            <w:pPr>
              <w:spacing w:line="360" w:lineRule="auto"/>
              <w:jc w:val="center"/>
              <w:rPr>
                <w:rFonts w:ascii="宋体" w:hAnsi="宋体"/>
                <w:i/>
                <w:color w:val="auto"/>
                <w:szCs w:val="21"/>
                <w:u w:val="single"/>
              </w:rPr>
            </w:pPr>
            <w:r>
              <w:rPr>
                <w:rFonts w:hint="eastAsia" w:ascii="宋体" w:hAnsi="宋体"/>
                <w:i/>
                <w:color w:val="auto"/>
                <w:szCs w:val="21"/>
                <w:u w:val="single"/>
              </w:rPr>
              <w:t>6</w:t>
            </w:r>
          </w:p>
        </w:tc>
        <w:tc>
          <w:tcPr>
            <w:tcW w:w="5447" w:type="dxa"/>
            <w:noWrap/>
            <w:vAlign w:val="center"/>
          </w:tcPr>
          <w:p w14:paraId="768738E3">
            <w:pPr>
              <w:snapToGrid w:val="0"/>
              <w:spacing w:line="360" w:lineRule="auto"/>
              <w:rPr>
                <w:rFonts w:ascii="宋体" w:hAnsi="宋体"/>
                <w:i/>
                <w:iCs/>
                <w:color w:val="auto"/>
                <w:szCs w:val="21"/>
                <w:u w:val="single"/>
              </w:rPr>
            </w:pPr>
          </w:p>
        </w:tc>
        <w:tc>
          <w:tcPr>
            <w:tcW w:w="1680" w:type="dxa"/>
            <w:noWrap/>
            <w:vAlign w:val="center"/>
          </w:tcPr>
          <w:p w14:paraId="33BE7A20">
            <w:pPr>
              <w:spacing w:line="360" w:lineRule="auto"/>
              <w:rPr>
                <w:rFonts w:ascii="宋体" w:hAnsi="宋体"/>
                <w:color w:val="auto"/>
                <w:szCs w:val="21"/>
              </w:rPr>
            </w:pPr>
          </w:p>
        </w:tc>
        <w:tc>
          <w:tcPr>
            <w:tcW w:w="1785" w:type="dxa"/>
            <w:noWrap/>
            <w:vAlign w:val="center"/>
          </w:tcPr>
          <w:p w14:paraId="55CD8B02">
            <w:pPr>
              <w:spacing w:line="360" w:lineRule="auto"/>
              <w:rPr>
                <w:rFonts w:ascii="宋体" w:hAnsi="宋体"/>
                <w:color w:val="auto"/>
                <w:szCs w:val="21"/>
              </w:rPr>
            </w:pPr>
          </w:p>
        </w:tc>
      </w:tr>
      <w:tr w14:paraId="751F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5BFAF798">
            <w:pPr>
              <w:spacing w:line="360" w:lineRule="auto"/>
              <w:jc w:val="center"/>
              <w:rPr>
                <w:rFonts w:ascii="宋体" w:hAnsi="宋体"/>
                <w:i/>
                <w:color w:val="auto"/>
                <w:szCs w:val="21"/>
                <w:u w:val="single"/>
              </w:rPr>
            </w:pPr>
            <w:r>
              <w:rPr>
                <w:rFonts w:hint="eastAsia" w:ascii="宋体" w:hAnsi="宋体"/>
                <w:i/>
                <w:color w:val="auto"/>
                <w:szCs w:val="21"/>
                <w:u w:val="single"/>
              </w:rPr>
              <w:t>7</w:t>
            </w:r>
          </w:p>
        </w:tc>
        <w:tc>
          <w:tcPr>
            <w:tcW w:w="5447" w:type="dxa"/>
            <w:noWrap/>
            <w:vAlign w:val="center"/>
          </w:tcPr>
          <w:p w14:paraId="69A5885A">
            <w:pPr>
              <w:snapToGrid w:val="0"/>
              <w:spacing w:line="360" w:lineRule="auto"/>
              <w:rPr>
                <w:rFonts w:ascii="宋体" w:hAnsi="宋体"/>
                <w:i/>
                <w:iCs/>
                <w:color w:val="auto"/>
                <w:szCs w:val="21"/>
                <w:u w:val="single"/>
              </w:rPr>
            </w:pPr>
            <w:r>
              <w:rPr>
                <w:rFonts w:hint="eastAsia" w:ascii="宋体" w:hAnsi="宋体"/>
                <w:i/>
                <w:iCs/>
                <w:color w:val="auto"/>
                <w:szCs w:val="21"/>
                <w:u w:val="single"/>
              </w:rPr>
              <w:t>磋商文件中的其他实质性要求</w:t>
            </w:r>
          </w:p>
        </w:tc>
        <w:tc>
          <w:tcPr>
            <w:tcW w:w="1680" w:type="dxa"/>
            <w:noWrap/>
            <w:vAlign w:val="center"/>
          </w:tcPr>
          <w:p w14:paraId="36DB6DB9">
            <w:pPr>
              <w:spacing w:line="360" w:lineRule="auto"/>
              <w:rPr>
                <w:rFonts w:ascii="宋体" w:hAnsi="宋体"/>
                <w:color w:val="auto"/>
                <w:szCs w:val="21"/>
              </w:rPr>
            </w:pPr>
          </w:p>
        </w:tc>
        <w:tc>
          <w:tcPr>
            <w:tcW w:w="1785" w:type="dxa"/>
            <w:noWrap/>
            <w:vAlign w:val="center"/>
          </w:tcPr>
          <w:p w14:paraId="66279D38">
            <w:pPr>
              <w:spacing w:line="360" w:lineRule="auto"/>
              <w:rPr>
                <w:rFonts w:ascii="宋体" w:hAnsi="宋体"/>
                <w:color w:val="auto"/>
                <w:szCs w:val="21"/>
              </w:rPr>
            </w:pPr>
          </w:p>
        </w:tc>
      </w:tr>
    </w:tbl>
    <w:p w14:paraId="0C8DE19A">
      <w:pPr>
        <w:spacing w:line="360" w:lineRule="auto"/>
        <w:ind w:firstLine="420" w:firstLineChars="200"/>
        <w:rPr>
          <w:rFonts w:ascii="宋体" w:hAnsi="宋体"/>
          <w:color w:val="auto"/>
          <w:szCs w:val="21"/>
        </w:rPr>
      </w:pPr>
    </w:p>
    <w:p w14:paraId="641E9DA0">
      <w:pPr>
        <w:snapToGrid w:val="0"/>
        <w:spacing w:line="360" w:lineRule="auto"/>
        <w:rPr>
          <w:rFonts w:ascii="宋体" w:hAnsi="宋体"/>
          <w:color w:val="auto"/>
          <w:szCs w:val="21"/>
        </w:rPr>
      </w:pPr>
    </w:p>
    <w:p w14:paraId="70B5BB2B">
      <w:pPr>
        <w:snapToGrid w:val="0"/>
        <w:spacing w:line="360" w:lineRule="auto"/>
        <w:rPr>
          <w:rFonts w:ascii="宋体" w:hAnsi="宋体"/>
          <w:color w:val="auto"/>
          <w:szCs w:val="21"/>
        </w:rPr>
      </w:pPr>
    </w:p>
    <w:p w14:paraId="251E6347">
      <w:pPr>
        <w:spacing w:line="360" w:lineRule="auto"/>
        <w:jc w:val="center"/>
        <w:rPr>
          <w:rFonts w:ascii="宋体" w:hAnsi="宋体"/>
          <w:b/>
          <w:color w:val="auto"/>
          <w:szCs w:val="21"/>
        </w:rPr>
      </w:pPr>
    </w:p>
    <w:p w14:paraId="3F434AD3">
      <w:pPr>
        <w:spacing w:line="360" w:lineRule="auto"/>
        <w:jc w:val="center"/>
        <w:rPr>
          <w:rFonts w:ascii="宋体" w:hAnsi="宋体"/>
          <w:b/>
          <w:color w:val="auto"/>
          <w:szCs w:val="21"/>
        </w:rPr>
      </w:pPr>
    </w:p>
    <w:p w14:paraId="3D36C4CB">
      <w:pPr>
        <w:spacing w:line="360" w:lineRule="auto"/>
        <w:jc w:val="center"/>
        <w:rPr>
          <w:rFonts w:ascii="宋体" w:hAnsi="宋体"/>
          <w:b/>
          <w:color w:val="auto"/>
          <w:szCs w:val="21"/>
        </w:rPr>
      </w:pPr>
    </w:p>
    <w:p w14:paraId="59C9CFB5">
      <w:pPr>
        <w:spacing w:line="360" w:lineRule="auto"/>
        <w:jc w:val="center"/>
        <w:rPr>
          <w:rFonts w:ascii="宋体" w:hAnsi="宋体"/>
          <w:b/>
          <w:color w:val="auto"/>
          <w:szCs w:val="21"/>
        </w:rPr>
      </w:pPr>
    </w:p>
    <w:p w14:paraId="677E0038">
      <w:pPr>
        <w:spacing w:line="360" w:lineRule="auto"/>
        <w:jc w:val="center"/>
        <w:rPr>
          <w:rFonts w:ascii="宋体" w:hAnsi="宋体"/>
          <w:b/>
          <w:color w:val="auto"/>
          <w:szCs w:val="21"/>
        </w:rPr>
      </w:pPr>
    </w:p>
    <w:p w14:paraId="0A8D29A9">
      <w:pPr>
        <w:spacing w:line="360" w:lineRule="auto"/>
        <w:jc w:val="center"/>
        <w:rPr>
          <w:rFonts w:ascii="宋体" w:hAnsi="宋体"/>
          <w:b/>
          <w:color w:val="auto"/>
          <w:szCs w:val="21"/>
        </w:rPr>
      </w:pPr>
    </w:p>
    <w:p w14:paraId="30A38B33">
      <w:pPr>
        <w:spacing w:line="360" w:lineRule="auto"/>
        <w:rPr>
          <w:color w:val="auto"/>
        </w:rPr>
      </w:pPr>
    </w:p>
    <w:p w14:paraId="257AF0B1">
      <w:pPr>
        <w:spacing w:line="360" w:lineRule="auto"/>
        <w:jc w:val="center"/>
        <w:rPr>
          <w:rFonts w:ascii="宋体" w:hAnsi="宋体"/>
          <w:b/>
          <w:color w:val="auto"/>
          <w:szCs w:val="21"/>
        </w:rPr>
      </w:pPr>
      <w:r>
        <w:rPr>
          <w:rFonts w:hint="eastAsia" w:ascii="宋体" w:hAnsi="宋体"/>
          <w:b/>
          <w:color w:val="auto"/>
          <w:szCs w:val="21"/>
        </w:rPr>
        <w:br w:type="page"/>
      </w:r>
      <w:r>
        <w:rPr>
          <w:rFonts w:hint="eastAsia" w:ascii="宋体" w:hAnsi="宋体" w:cs="宋体"/>
          <w:b/>
          <w:color w:val="auto"/>
          <w:sz w:val="24"/>
        </w:rPr>
        <w:t>二、资信证明文件</w:t>
      </w:r>
    </w:p>
    <w:p w14:paraId="172FA7F0">
      <w:pPr>
        <w:spacing w:line="360" w:lineRule="auto"/>
        <w:ind w:firstLine="420" w:firstLineChars="200"/>
        <w:rPr>
          <w:rFonts w:ascii="宋体" w:hAnsi="宋体" w:cs="宋体"/>
          <w:color w:val="auto"/>
          <w:szCs w:val="21"/>
        </w:rPr>
      </w:pPr>
      <w:r>
        <w:rPr>
          <w:rFonts w:hint="eastAsia" w:ascii="宋体" w:hAnsi="宋体" w:cs="宋体"/>
          <w:color w:val="auto"/>
          <w:szCs w:val="21"/>
        </w:rPr>
        <w:t>（一）通用资格要求</w:t>
      </w:r>
    </w:p>
    <w:p w14:paraId="3536F113">
      <w:pPr>
        <w:spacing w:line="360" w:lineRule="auto"/>
        <w:ind w:firstLine="420" w:firstLineChars="200"/>
        <w:rPr>
          <w:rFonts w:ascii="宋体" w:hAnsi="宋体" w:cs="宋体"/>
          <w:color w:val="auto"/>
          <w:szCs w:val="21"/>
        </w:rPr>
      </w:pPr>
      <w:r>
        <w:rPr>
          <w:rFonts w:hint="eastAsia" w:ascii="宋体" w:hAnsi="宋体" w:cs="宋体"/>
          <w:color w:val="auto"/>
          <w:szCs w:val="21"/>
        </w:rPr>
        <w:t>1.满足《中华人民共和国政府采购法》第二十二条规定，并提供下列材料：</w:t>
      </w:r>
    </w:p>
    <w:p w14:paraId="0B4F9155">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1.1 法人或者其他组织的营业执照等证明文件，自然人的身份证明（身份证为正、反面）；</w:t>
      </w:r>
    </w:p>
    <w:p w14:paraId="5FC8BA48">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1.2若法定代表人参加磋商的，须提供本人身份证复印件（原件备查）；若授权代表参加的，须提供《法人授权书》原件和授权代表身份证复印件（原件备查）；</w:t>
      </w:r>
    </w:p>
    <w:p w14:paraId="3DB322C5">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1.3 上一年度的财务状况报告（成立不满一年无需提供）；</w:t>
      </w:r>
    </w:p>
    <w:p w14:paraId="1C44915A">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1.4依法缴纳税收和社会保障资金的相关材料（提供提交响应文件截止时间前一年内至少一个月依法缴纳税收及缴纳社会保障资金的证明材料。供应商依法享受缓缴、免缴税收、社会保障资金的提供相应证明材料。）；</w:t>
      </w:r>
    </w:p>
    <w:p w14:paraId="482009CA">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1.5具备履行合同所必需的设备和专业技术能力的书面声明；（原件加盖供应商公章）</w:t>
      </w:r>
    </w:p>
    <w:p w14:paraId="0DBF9D81">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1.6参加政府采购活动前3年内在经营活动中没有重大违法记录的书面声明；（原件加盖供应商公章）</w:t>
      </w:r>
    </w:p>
    <w:p w14:paraId="480BAB10">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1.7供应商信用承诺书。（原件加盖供应商公章）</w:t>
      </w:r>
    </w:p>
    <w:p w14:paraId="5DCD34F8">
      <w:pPr>
        <w:spacing w:line="360" w:lineRule="auto"/>
        <w:ind w:firstLine="420" w:firstLineChars="200"/>
        <w:rPr>
          <w:rFonts w:ascii="宋体" w:hAnsi="宋体" w:cs="宋体"/>
          <w:i/>
          <w:iCs/>
          <w:color w:val="auto"/>
          <w:szCs w:val="21"/>
          <w:u w:val="single"/>
        </w:rPr>
      </w:pPr>
      <w:r>
        <w:rPr>
          <w:rFonts w:hint="eastAsia" w:ascii="宋体" w:hAnsi="宋体" w:cs="宋体"/>
          <w:i/>
          <w:iCs/>
          <w:color w:val="auto"/>
          <w:szCs w:val="21"/>
          <w:u w:val="single"/>
        </w:rPr>
        <w:t>1.8未被“信用中国”网站（www.creditchina.gov.cn）、“中国政府采购网”</w:t>
      </w:r>
      <w:r>
        <w:rPr>
          <w:rFonts w:hint="eastAsia" w:ascii="宋体" w:hAnsi="宋体" w:cs="宋体"/>
          <w:i/>
          <w:iCs/>
          <w:color w:val="auto"/>
          <w:szCs w:val="21"/>
          <w:u w:val="single"/>
          <w:lang w:eastAsia="zh-CN"/>
        </w:rPr>
        <w:t>（</w:t>
      </w:r>
      <w:r>
        <w:rPr>
          <w:rFonts w:hint="eastAsia" w:ascii="宋体" w:hAnsi="宋体" w:cs="宋体"/>
          <w:i/>
          <w:iCs/>
          <w:color w:val="auto"/>
          <w:szCs w:val="21"/>
          <w:u w:val="single"/>
        </w:rPr>
        <w:t>www.ccgp.gov.cn）列入失信被执行人、重大税收违法案件当事人名单、政府采购严重违法失信行为记录名单（响应文件中无需提供证明材料）。</w:t>
      </w:r>
    </w:p>
    <w:p w14:paraId="76881392">
      <w:pPr>
        <w:pStyle w:val="99"/>
        <w:adjustRightInd/>
        <w:spacing w:line="360" w:lineRule="auto"/>
        <w:ind w:firstLine="480" w:firstLineChars="200"/>
        <w:rPr>
          <w:rFonts w:hAnsi="宋体"/>
          <w:i/>
          <w:iCs/>
          <w:color w:val="auto"/>
          <w:sz w:val="21"/>
          <w:szCs w:val="21"/>
          <w:u w:val="single"/>
        </w:rPr>
      </w:pPr>
      <w:r>
        <w:rPr>
          <w:rFonts w:hint="eastAsia" w:hAnsi="宋体"/>
          <w:color w:val="auto"/>
          <w:szCs w:val="21"/>
        </w:rPr>
        <w:t>（二）</w:t>
      </w:r>
      <w:r>
        <w:rPr>
          <w:rFonts w:hint="eastAsia" w:hAnsi="宋体"/>
          <w:color w:val="auto"/>
          <w:sz w:val="21"/>
          <w:szCs w:val="21"/>
        </w:rPr>
        <w:t>本项目的特定资格要求：</w:t>
      </w:r>
      <w:r>
        <w:rPr>
          <w:rFonts w:hint="eastAsia" w:hAnsi="宋体"/>
          <w:i/>
          <w:iCs/>
          <w:color w:val="auto"/>
          <w:sz w:val="21"/>
          <w:szCs w:val="21"/>
          <w:u w:val="single"/>
        </w:rPr>
        <w:t>供应商通过“全国投资项目在线审批监管平台”备案。（提供有效网页查询截图复印件加盖供应商公章）（全国投资项目在线审批监管平台网址：https://new.tzxm.gov.cn</w:t>
      </w:r>
      <w:r>
        <w:rPr>
          <w:rFonts w:hint="eastAsia" w:hAnsi="宋体"/>
          <w:i/>
          <w:iCs/>
          <w:color w:val="auto"/>
          <w:sz w:val="21"/>
          <w:szCs w:val="21"/>
          <w:u w:val="single"/>
          <w:lang w:eastAsia="zh-CN"/>
        </w:rPr>
        <w:t>/</w:t>
      </w:r>
      <w:r>
        <w:rPr>
          <w:rFonts w:hint="eastAsia" w:hAnsi="宋体"/>
          <w:i/>
          <w:iCs/>
          <w:color w:val="auto"/>
          <w:sz w:val="21"/>
          <w:szCs w:val="21"/>
          <w:u w:val="single"/>
        </w:rPr>
        <w:t>提供查询截图时间为采购公告发布之日起至响应文件接收截止时间）</w:t>
      </w:r>
    </w:p>
    <w:p w14:paraId="4DCDE801">
      <w:pPr>
        <w:spacing w:line="360" w:lineRule="auto"/>
        <w:ind w:firstLine="420" w:firstLineChars="200"/>
        <w:rPr>
          <w:rFonts w:ascii="宋体" w:hAnsi="宋体" w:cs="宋体"/>
          <w:color w:val="auto"/>
          <w:szCs w:val="21"/>
        </w:rPr>
      </w:pPr>
      <w:r>
        <w:rPr>
          <w:rFonts w:hint="eastAsia" w:ascii="宋体" w:hAnsi="宋体" w:cs="宋体"/>
          <w:color w:val="auto"/>
          <w:szCs w:val="21"/>
        </w:rPr>
        <w:t>（三）拒绝下述供应商参加本次采购活动：</w:t>
      </w:r>
    </w:p>
    <w:p w14:paraId="51F4D1AF">
      <w:pPr>
        <w:spacing w:line="360" w:lineRule="auto"/>
        <w:ind w:firstLine="420" w:firstLineChars="200"/>
        <w:rPr>
          <w:rFonts w:ascii="宋体" w:hAnsi="宋体" w:cs="宋体"/>
          <w:color w:val="auto"/>
          <w:szCs w:val="21"/>
        </w:rPr>
      </w:pPr>
      <w:r>
        <w:rPr>
          <w:rFonts w:hint="eastAsia" w:ascii="宋体" w:hAnsi="宋体" w:cs="宋体"/>
          <w:color w:val="auto"/>
          <w:szCs w:val="21"/>
        </w:rPr>
        <w:t>3.1单位负责人为同一人或者存在直接控股、管理关系的不同供应商，不得参加同一合同项下的政府采购活动；</w:t>
      </w:r>
    </w:p>
    <w:p w14:paraId="5ED9DC21">
      <w:pPr>
        <w:spacing w:line="360" w:lineRule="auto"/>
        <w:ind w:firstLine="420" w:firstLineChars="200"/>
        <w:rPr>
          <w:rFonts w:ascii="宋体" w:hAnsi="宋体" w:cs="宋体"/>
          <w:color w:val="auto"/>
          <w:szCs w:val="21"/>
        </w:rPr>
      </w:pPr>
      <w:r>
        <w:rPr>
          <w:rFonts w:hint="eastAsia" w:ascii="宋体" w:hAnsi="宋体" w:cs="宋体"/>
          <w:color w:val="auto"/>
          <w:szCs w:val="21"/>
        </w:rPr>
        <w:t>3.2除单一来源采购项目外，为采购项目提供整体设计、规范编制或者项目管理、监理、检测等服务的供应商，不得再参加该采购项目的其他采购活动。</w:t>
      </w:r>
    </w:p>
    <w:p w14:paraId="75A5537E">
      <w:pPr>
        <w:spacing w:line="360" w:lineRule="auto"/>
        <w:jc w:val="center"/>
        <w:rPr>
          <w:rFonts w:ascii="宋体" w:hAnsi="宋体" w:cs="宋体"/>
          <w:b/>
          <w:color w:val="auto"/>
          <w:sz w:val="24"/>
        </w:rPr>
        <w:sectPr>
          <w:footerReference r:id="rId6" w:type="default"/>
          <w:pgSz w:w="11906" w:h="16838"/>
          <w:pgMar w:top="1270" w:right="1083" w:bottom="1270" w:left="1083" w:header="1191" w:footer="992" w:gutter="0"/>
          <w:pgBorders>
            <w:top w:val="none" w:sz="0" w:space="0"/>
            <w:left w:val="none" w:sz="0" w:space="0"/>
            <w:bottom w:val="none" w:sz="0" w:space="0"/>
            <w:right w:val="none" w:sz="0" w:space="0"/>
          </w:pgBorders>
          <w:pgNumType w:fmt="numberInDash" w:start="1"/>
          <w:cols w:space="0" w:num="1"/>
          <w:docGrid w:type="lines" w:linePitch="325" w:charSpace="0"/>
        </w:sectPr>
      </w:pPr>
    </w:p>
    <w:p w14:paraId="42C54B97">
      <w:pPr>
        <w:spacing w:line="360" w:lineRule="auto"/>
        <w:jc w:val="center"/>
        <w:rPr>
          <w:rFonts w:ascii="宋体" w:hAnsi="宋体" w:cs="宋体"/>
          <w:b/>
          <w:color w:val="auto"/>
          <w:kern w:val="1"/>
          <w:szCs w:val="21"/>
        </w:rPr>
      </w:pPr>
      <w:r>
        <w:rPr>
          <w:rFonts w:hint="eastAsia" w:ascii="宋体" w:hAnsi="宋体" w:cs="宋体"/>
          <w:b/>
          <w:color w:val="auto"/>
          <w:sz w:val="24"/>
        </w:rPr>
        <w:t>法人授权书</w:t>
      </w:r>
    </w:p>
    <w:p w14:paraId="29CBE5E1">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本授权书声明：</w:t>
      </w:r>
      <w:r>
        <w:rPr>
          <w:rFonts w:hint="eastAsia" w:ascii="宋体" w:hAnsi="宋体" w:cs="宋体"/>
          <w:color w:val="auto"/>
          <w:sz w:val="21"/>
          <w:szCs w:val="21"/>
          <w:u w:val="single"/>
        </w:rPr>
        <w:t xml:space="preserve">    （供应商名称） </w:t>
      </w:r>
      <w:r>
        <w:rPr>
          <w:rFonts w:hint="eastAsia" w:ascii="宋体" w:hAnsi="宋体" w:cs="宋体"/>
          <w:color w:val="auto"/>
          <w:sz w:val="21"/>
          <w:szCs w:val="21"/>
        </w:rPr>
        <w:t>授权</w:t>
      </w:r>
      <w:r>
        <w:rPr>
          <w:rFonts w:hint="eastAsia" w:ascii="宋体" w:hAnsi="宋体" w:cs="宋体"/>
          <w:color w:val="auto"/>
          <w:sz w:val="21"/>
          <w:szCs w:val="21"/>
          <w:u w:val="single"/>
        </w:rPr>
        <w:t xml:space="preserve">    （被授权人的姓名）    </w:t>
      </w:r>
      <w:r>
        <w:rPr>
          <w:rFonts w:hint="eastAsia" w:ascii="宋体" w:hAnsi="宋体" w:cs="宋体"/>
          <w:color w:val="auto"/>
          <w:sz w:val="21"/>
          <w:szCs w:val="21"/>
        </w:rPr>
        <w:t>为我方就 号</w:t>
      </w:r>
      <w:r>
        <w:rPr>
          <w:rFonts w:hint="eastAsia" w:ascii="宋体" w:hAnsi="宋体" w:cs="宋体"/>
          <w:color w:val="auto"/>
          <w:sz w:val="21"/>
          <w:szCs w:val="21"/>
          <w:u w:val="single"/>
        </w:rPr>
        <w:t xml:space="preserve">    （项目编号、项目名称）  </w:t>
      </w:r>
      <w:r>
        <w:rPr>
          <w:rFonts w:hint="eastAsia" w:ascii="宋体" w:hAnsi="宋体" w:cs="宋体"/>
          <w:color w:val="auto"/>
          <w:sz w:val="21"/>
          <w:szCs w:val="21"/>
        </w:rPr>
        <w:t>采购活动的合法代理人，以本公司名义全权处理一切与该项目采购有关的事务。</w:t>
      </w:r>
    </w:p>
    <w:p w14:paraId="58E02B54">
      <w:pPr>
        <w:pStyle w:val="91"/>
        <w:spacing w:line="360" w:lineRule="auto"/>
        <w:ind w:firstLine="420"/>
        <w:rPr>
          <w:rFonts w:ascii="宋体" w:hAnsi="宋体" w:cs="宋体"/>
          <w:color w:val="auto"/>
          <w:sz w:val="21"/>
          <w:szCs w:val="21"/>
        </w:rPr>
      </w:pPr>
    </w:p>
    <w:p w14:paraId="780C7959">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本授权书于年月日起生效，特此声明。</w:t>
      </w:r>
    </w:p>
    <w:p w14:paraId="713F3BDF">
      <w:pPr>
        <w:pStyle w:val="91"/>
        <w:spacing w:line="360" w:lineRule="auto"/>
        <w:ind w:firstLine="420"/>
        <w:rPr>
          <w:rFonts w:ascii="宋体" w:hAnsi="宋体" w:cs="宋体"/>
          <w:color w:val="auto"/>
          <w:sz w:val="21"/>
          <w:szCs w:val="21"/>
        </w:rPr>
      </w:pPr>
    </w:p>
    <w:tbl>
      <w:tblPr>
        <w:tblStyle w:val="30"/>
        <w:tblW w:w="0" w:type="auto"/>
        <w:tblInd w:w="6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1"/>
        <w:gridCol w:w="4008"/>
      </w:tblGrid>
      <w:tr w14:paraId="2770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1" w:type="dxa"/>
            <w:tcBorders>
              <w:top w:val="nil"/>
              <w:left w:val="nil"/>
              <w:bottom w:val="nil"/>
              <w:right w:val="nil"/>
            </w:tcBorders>
            <w:noWrap/>
            <w:vAlign w:val="bottom"/>
          </w:tcPr>
          <w:p w14:paraId="01ADA361">
            <w:pPr>
              <w:pStyle w:val="91"/>
              <w:spacing w:line="360" w:lineRule="auto"/>
              <w:ind w:firstLine="420"/>
              <w:jc w:val="left"/>
              <w:rPr>
                <w:rFonts w:ascii="宋体" w:hAnsi="宋体" w:cs="宋体"/>
                <w:color w:val="auto"/>
                <w:sz w:val="21"/>
                <w:szCs w:val="21"/>
              </w:rPr>
            </w:pPr>
            <w:r>
              <w:rPr>
                <w:rFonts w:hint="eastAsia" w:ascii="宋体" w:hAnsi="宋体" w:cs="宋体"/>
                <w:color w:val="auto"/>
                <w:sz w:val="21"/>
                <w:szCs w:val="21"/>
              </w:rPr>
              <w:t>单位名称（公章）：</w:t>
            </w:r>
          </w:p>
        </w:tc>
        <w:tc>
          <w:tcPr>
            <w:tcW w:w="4008" w:type="dxa"/>
            <w:tcBorders>
              <w:top w:val="nil"/>
              <w:left w:val="nil"/>
              <w:right w:val="nil"/>
            </w:tcBorders>
            <w:noWrap/>
          </w:tcPr>
          <w:p w14:paraId="77CD55FC">
            <w:pPr>
              <w:pStyle w:val="91"/>
              <w:spacing w:line="360" w:lineRule="auto"/>
              <w:ind w:firstLine="420"/>
              <w:rPr>
                <w:rFonts w:ascii="宋体" w:hAnsi="宋体" w:cs="宋体"/>
                <w:color w:val="auto"/>
                <w:sz w:val="21"/>
                <w:szCs w:val="21"/>
              </w:rPr>
            </w:pPr>
          </w:p>
        </w:tc>
      </w:tr>
      <w:tr w14:paraId="6B58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1" w:type="dxa"/>
            <w:tcBorders>
              <w:top w:val="nil"/>
              <w:left w:val="nil"/>
              <w:bottom w:val="nil"/>
              <w:right w:val="nil"/>
            </w:tcBorders>
            <w:noWrap/>
            <w:vAlign w:val="bottom"/>
          </w:tcPr>
          <w:p w14:paraId="5A1A312B">
            <w:pPr>
              <w:pStyle w:val="91"/>
              <w:spacing w:line="360" w:lineRule="auto"/>
              <w:ind w:firstLine="420"/>
              <w:jc w:val="left"/>
              <w:rPr>
                <w:rFonts w:ascii="宋体" w:hAnsi="宋体" w:cs="宋体"/>
                <w:color w:val="auto"/>
                <w:sz w:val="21"/>
                <w:szCs w:val="21"/>
              </w:rPr>
            </w:pPr>
            <w:r>
              <w:rPr>
                <w:rFonts w:hint="eastAsia" w:ascii="宋体" w:hAnsi="宋体" w:cs="宋体"/>
                <w:color w:val="auto"/>
                <w:sz w:val="21"/>
                <w:szCs w:val="21"/>
              </w:rPr>
              <w:t>法定代表人（签字或盖章）：</w:t>
            </w:r>
          </w:p>
        </w:tc>
        <w:tc>
          <w:tcPr>
            <w:tcW w:w="4008" w:type="dxa"/>
            <w:tcBorders>
              <w:left w:val="nil"/>
              <w:right w:val="nil"/>
            </w:tcBorders>
            <w:noWrap/>
          </w:tcPr>
          <w:p w14:paraId="33C1F774">
            <w:pPr>
              <w:pStyle w:val="91"/>
              <w:spacing w:line="360" w:lineRule="auto"/>
              <w:ind w:firstLine="420"/>
              <w:rPr>
                <w:rFonts w:ascii="宋体" w:hAnsi="宋体" w:cs="宋体"/>
                <w:color w:val="auto"/>
                <w:sz w:val="21"/>
                <w:szCs w:val="21"/>
              </w:rPr>
            </w:pPr>
          </w:p>
        </w:tc>
      </w:tr>
      <w:tr w14:paraId="3CA6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1" w:type="dxa"/>
            <w:tcBorders>
              <w:top w:val="nil"/>
              <w:left w:val="nil"/>
              <w:bottom w:val="nil"/>
              <w:right w:val="nil"/>
            </w:tcBorders>
            <w:noWrap/>
            <w:vAlign w:val="bottom"/>
          </w:tcPr>
          <w:p w14:paraId="4CAA14BD">
            <w:pPr>
              <w:pStyle w:val="91"/>
              <w:spacing w:line="360" w:lineRule="auto"/>
              <w:ind w:firstLine="420"/>
              <w:jc w:val="left"/>
              <w:rPr>
                <w:rFonts w:ascii="宋体" w:hAnsi="宋体" w:cs="宋体"/>
                <w:color w:val="auto"/>
                <w:sz w:val="21"/>
                <w:szCs w:val="21"/>
              </w:rPr>
            </w:pPr>
            <w:r>
              <w:rPr>
                <w:rFonts w:hint="eastAsia" w:ascii="宋体" w:hAnsi="宋体" w:cs="宋体"/>
                <w:color w:val="auto"/>
                <w:sz w:val="21"/>
                <w:szCs w:val="21"/>
              </w:rPr>
              <w:t>身份证号码：</w:t>
            </w:r>
          </w:p>
        </w:tc>
        <w:tc>
          <w:tcPr>
            <w:tcW w:w="4008" w:type="dxa"/>
            <w:tcBorders>
              <w:left w:val="nil"/>
              <w:right w:val="nil"/>
            </w:tcBorders>
            <w:noWrap/>
          </w:tcPr>
          <w:p w14:paraId="5B3B70EA">
            <w:pPr>
              <w:pStyle w:val="91"/>
              <w:spacing w:line="360" w:lineRule="auto"/>
              <w:ind w:firstLine="420"/>
              <w:rPr>
                <w:rFonts w:ascii="宋体" w:hAnsi="宋体" w:cs="宋体"/>
                <w:color w:val="auto"/>
                <w:sz w:val="21"/>
                <w:szCs w:val="21"/>
              </w:rPr>
            </w:pPr>
          </w:p>
        </w:tc>
      </w:tr>
      <w:tr w14:paraId="2A62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1" w:type="dxa"/>
            <w:tcBorders>
              <w:top w:val="nil"/>
              <w:left w:val="nil"/>
              <w:bottom w:val="nil"/>
              <w:right w:val="nil"/>
            </w:tcBorders>
            <w:noWrap/>
            <w:vAlign w:val="bottom"/>
          </w:tcPr>
          <w:p w14:paraId="27A4DD28">
            <w:pPr>
              <w:pStyle w:val="91"/>
              <w:spacing w:line="360" w:lineRule="auto"/>
              <w:ind w:firstLine="420"/>
              <w:jc w:val="left"/>
              <w:rPr>
                <w:rFonts w:ascii="宋体" w:hAnsi="宋体" w:cs="宋体"/>
                <w:color w:val="auto"/>
                <w:sz w:val="21"/>
                <w:szCs w:val="21"/>
              </w:rPr>
            </w:pPr>
            <w:r>
              <w:rPr>
                <w:rFonts w:hint="eastAsia" w:ascii="宋体" w:hAnsi="宋体" w:cs="宋体"/>
                <w:color w:val="auto"/>
                <w:sz w:val="21"/>
                <w:szCs w:val="21"/>
              </w:rPr>
              <w:t>被授权人（签字或盖章）：</w:t>
            </w:r>
          </w:p>
        </w:tc>
        <w:tc>
          <w:tcPr>
            <w:tcW w:w="4008" w:type="dxa"/>
            <w:tcBorders>
              <w:left w:val="nil"/>
              <w:right w:val="nil"/>
            </w:tcBorders>
            <w:noWrap/>
          </w:tcPr>
          <w:p w14:paraId="7FB4A048">
            <w:pPr>
              <w:pStyle w:val="91"/>
              <w:spacing w:line="360" w:lineRule="auto"/>
              <w:ind w:firstLine="420"/>
              <w:rPr>
                <w:rFonts w:ascii="宋体" w:hAnsi="宋体" w:cs="宋体"/>
                <w:color w:val="auto"/>
                <w:sz w:val="21"/>
                <w:szCs w:val="21"/>
              </w:rPr>
            </w:pPr>
          </w:p>
        </w:tc>
      </w:tr>
      <w:tr w14:paraId="73C5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1" w:type="dxa"/>
            <w:tcBorders>
              <w:top w:val="nil"/>
              <w:left w:val="nil"/>
              <w:bottom w:val="nil"/>
              <w:right w:val="nil"/>
            </w:tcBorders>
            <w:noWrap/>
            <w:vAlign w:val="bottom"/>
          </w:tcPr>
          <w:p w14:paraId="48CBF887">
            <w:pPr>
              <w:pStyle w:val="91"/>
              <w:spacing w:line="360" w:lineRule="auto"/>
              <w:ind w:firstLine="420"/>
              <w:jc w:val="left"/>
              <w:rPr>
                <w:rFonts w:ascii="宋体" w:hAnsi="宋体" w:cs="宋体"/>
                <w:color w:val="auto"/>
                <w:sz w:val="21"/>
                <w:szCs w:val="21"/>
              </w:rPr>
            </w:pPr>
            <w:r>
              <w:rPr>
                <w:rFonts w:hint="eastAsia" w:ascii="宋体" w:hAnsi="宋体" w:cs="宋体"/>
                <w:color w:val="auto"/>
                <w:sz w:val="21"/>
                <w:szCs w:val="21"/>
              </w:rPr>
              <w:t>身份证号码：</w:t>
            </w:r>
          </w:p>
        </w:tc>
        <w:tc>
          <w:tcPr>
            <w:tcW w:w="4008" w:type="dxa"/>
            <w:tcBorders>
              <w:left w:val="nil"/>
              <w:right w:val="nil"/>
            </w:tcBorders>
            <w:noWrap/>
          </w:tcPr>
          <w:p w14:paraId="19D2A15E">
            <w:pPr>
              <w:pStyle w:val="91"/>
              <w:spacing w:line="360" w:lineRule="auto"/>
              <w:ind w:firstLine="420"/>
              <w:rPr>
                <w:rFonts w:ascii="宋体" w:hAnsi="宋体" w:cs="宋体"/>
                <w:color w:val="auto"/>
                <w:sz w:val="21"/>
                <w:szCs w:val="21"/>
              </w:rPr>
            </w:pPr>
          </w:p>
        </w:tc>
      </w:tr>
      <w:tr w14:paraId="3A09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1" w:type="dxa"/>
            <w:tcBorders>
              <w:top w:val="nil"/>
              <w:left w:val="nil"/>
              <w:bottom w:val="nil"/>
              <w:right w:val="nil"/>
            </w:tcBorders>
            <w:noWrap/>
            <w:vAlign w:val="bottom"/>
          </w:tcPr>
          <w:p w14:paraId="4AAA296E">
            <w:pPr>
              <w:pStyle w:val="91"/>
              <w:spacing w:line="360" w:lineRule="auto"/>
              <w:ind w:firstLine="420"/>
              <w:jc w:val="left"/>
              <w:rPr>
                <w:rFonts w:ascii="宋体" w:hAnsi="宋体" w:cs="宋体"/>
                <w:color w:val="auto"/>
                <w:sz w:val="21"/>
                <w:szCs w:val="21"/>
              </w:rPr>
            </w:pPr>
            <w:r>
              <w:rPr>
                <w:rFonts w:hint="eastAsia" w:ascii="宋体" w:hAnsi="宋体" w:cs="宋体"/>
                <w:color w:val="auto"/>
                <w:sz w:val="21"/>
                <w:szCs w:val="21"/>
              </w:rPr>
              <w:t>日期：</w:t>
            </w:r>
          </w:p>
        </w:tc>
        <w:tc>
          <w:tcPr>
            <w:tcW w:w="4008" w:type="dxa"/>
            <w:tcBorders>
              <w:left w:val="nil"/>
              <w:right w:val="nil"/>
            </w:tcBorders>
            <w:noWrap/>
            <w:vAlign w:val="bottom"/>
          </w:tcPr>
          <w:p w14:paraId="3CCC27D5">
            <w:pPr>
              <w:pStyle w:val="91"/>
              <w:spacing w:line="360" w:lineRule="auto"/>
              <w:ind w:firstLine="1050" w:firstLineChars="500"/>
              <w:rPr>
                <w:rFonts w:ascii="宋体" w:hAnsi="宋体" w:cs="宋体"/>
                <w:color w:val="auto"/>
                <w:sz w:val="21"/>
                <w:szCs w:val="21"/>
              </w:rPr>
            </w:pPr>
            <w:r>
              <w:rPr>
                <w:rFonts w:hint="eastAsia" w:ascii="宋体" w:hAnsi="宋体" w:cs="宋体"/>
                <w:color w:val="auto"/>
                <w:sz w:val="21"/>
                <w:szCs w:val="21"/>
              </w:rPr>
              <w:t>年    月    日</w:t>
            </w:r>
          </w:p>
        </w:tc>
      </w:tr>
    </w:tbl>
    <w:p w14:paraId="3F2D0526">
      <w:pPr>
        <w:pStyle w:val="7"/>
        <w:spacing w:line="360" w:lineRule="auto"/>
        <w:ind w:firstLine="0"/>
        <w:rPr>
          <w:rFonts w:ascii="宋体" w:hAnsi="宋体" w:cs="宋体"/>
          <w:color w:val="auto"/>
        </w:rPr>
      </w:pPr>
    </w:p>
    <w:p w14:paraId="578E6FC7">
      <w:pPr>
        <w:spacing w:line="460" w:lineRule="exact"/>
        <w:ind w:firstLine="420" w:firstLineChars="200"/>
        <w:rPr>
          <w:rFonts w:ascii="宋体" w:hAnsi="宋体" w:cs="宋体"/>
          <w:color w:val="auto"/>
          <w:szCs w:val="21"/>
        </w:rPr>
      </w:pPr>
      <w:r>
        <w:rPr>
          <w:rFonts w:hint="eastAsia" w:ascii="宋体" w:hAnsi="宋体" w:cs="宋体"/>
          <w:bCs/>
          <w:color w:val="auto"/>
          <w:szCs w:val="21"/>
        </w:rPr>
        <w:t>法定代表人身份证正反面复印件、被授权人身份证正反面复印件：</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56"/>
      </w:tblGrid>
      <w:tr w14:paraId="49E9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7" w:hRule="atLeast"/>
        </w:trPr>
        <w:tc>
          <w:tcPr>
            <w:tcW w:w="5000" w:type="pct"/>
            <w:noWrap/>
          </w:tcPr>
          <w:p w14:paraId="304F7B69">
            <w:pPr>
              <w:spacing w:beforeLines="50" w:afterLines="50" w:line="360" w:lineRule="auto"/>
              <w:jc w:val="center"/>
              <w:rPr>
                <w:rFonts w:ascii="宋体" w:hAnsi="宋体" w:cs="宋体"/>
                <w:b/>
                <w:bCs/>
                <w:color w:val="auto"/>
                <w:szCs w:val="21"/>
              </w:rPr>
            </w:pPr>
          </w:p>
        </w:tc>
      </w:tr>
    </w:tbl>
    <w:p w14:paraId="2BCAC035">
      <w:pPr>
        <w:rPr>
          <w:rFonts w:ascii="宋体" w:hAnsi="宋体" w:cs="宋体"/>
          <w:b/>
          <w:color w:val="auto"/>
          <w:sz w:val="24"/>
        </w:rPr>
      </w:pPr>
      <w:r>
        <w:rPr>
          <w:rFonts w:hint="eastAsia" w:ascii="宋体" w:hAnsi="宋体" w:cs="宋体"/>
          <w:color w:val="auto"/>
          <w:kern w:val="1"/>
          <w:sz w:val="24"/>
        </w:rPr>
        <w:br w:type="page"/>
      </w:r>
    </w:p>
    <w:p w14:paraId="64E1DC75">
      <w:pPr>
        <w:spacing w:line="360" w:lineRule="auto"/>
        <w:jc w:val="center"/>
        <w:rPr>
          <w:rFonts w:ascii="宋体" w:hAnsi="宋体" w:cs="宋体"/>
          <w:b/>
          <w:color w:val="auto"/>
          <w:sz w:val="24"/>
        </w:rPr>
      </w:pPr>
    </w:p>
    <w:p w14:paraId="56F5873F">
      <w:pPr>
        <w:spacing w:line="360" w:lineRule="auto"/>
        <w:jc w:val="center"/>
        <w:rPr>
          <w:rFonts w:ascii="宋体" w:hAnsi="宋体" w:cs="宋体"/>
          <w:b/>
          <w:color w:val="auto"/>
          <w:sz w:val="24"/>
        </w:rPr>
      </w:pPr>
      <w:r>
        <w:rPr>
          <w:rFonts w:hint="eastAsia" w:ascii="宋体" w:hAnsi="宋体" w:cs="宋体"/>
          <w:b/>
          <w:color w:val="auto"/>
          <w:sz w:val="24"/>
        </w:rPr>
        <w:t>具备履行合同所必需的设备和专业技术能力的书面声明</w:t>
      </w:r>
    </w:p>
    <w:p w14:paraId="77753237">
      <w:pPr>
        <w:spacing w:line="360" w:lineRule="auto"/>
        <w:ind w:firstLine="492"/>
        <w:jc w:val="left"/>
        <w:rPr>
          <w:rFonts w:ascii="宋体" w:hAnsi="宋体" w:cs="宋体"/>
          <w:bCs/>
          <w:color w:val="auto"/>
          <w:szCs w:val="21"/>
        </w:rPr>
      </w:pPr>
    </w:p>
    <w:p w14:paraId="0FA764A0">
      <w:pPr>
        <w:spacing w:line="360" w:lineRule="auto"/>
        <w:ind w:firstLine="492"/>
        <w:jc w:val="left"/>
        <w:rPr>
          <w:rFonts w:ascii="宋体" w:hAnsi="宋体" w:cs="宋体"/>
          <w:bCs/>
          <w:color w:val="auto"/>
          <w:szCs w:val="21"/>
        </w:rPr>
      </w:pPr>
      <w:r>
        <w:rPr>
          <w:rFonts w:hint="eastAsia" w:ascii="宋体" w:hAnsi="宋体" w:cs="宋体"/>
          <w:bCs/>
          <w:color w:val="auto"/>
          <w:szCs w:val="21"/>
        </w:rPr>
        <w:t>我单位郑重声明：我单位具备履行本项采购合同所必需的设备和专业技术能力，为履行本项采购合同我公司具备如下主要设备和主要专业技术能力：</w:t>
      </w:r>
    </w:p>
    <w:p w14:paraId="29CFCA13">
      <w:pPr>
        <w:spacing w:line="360" w:lineRule="auto"/>
        <w:ind w:firstLine="492"/>
        <w:jc w:val="left"/>
        <w:rPr>
          <w:rFonts w:ascii="宋体" w:hAnsi="宋体" w:cs="宋体"/>
          <w:bCs/>
          <w:color w:val="auto"/>
          <w:szCs w:val="21"/>
        </w:rPr>
      </w:pPr>
      <w:r>
        <w:rPr>
          <w:rFonts w:hint="eastAsia" w:ascii="宋体" w:hAnsi="宋体" w:cs="宋体"/>
          <w:bCs/>
          <w:color w:val="auto"/>
          <w:szCs w:val="21"/>
        </w:rPr>
        <w:t>主要设备有</w:t>
      </w:r>
      <w:r>
        <w:rPr>
          <w:rFonts w:hint="eastAsia" w:ascii="宋体" w:hAnsi="宋体" w:cs="宋体"/>
          <w:bCs/>
          <w:color w:val="auto"/>
          <w:szCs w:val="21"/>
          <w:lang w:eastAsia="zh-CN"/>
        </w:rPr>
        <w:t>：</w:t>
      </w:r>
    </w:p>
    <w:p w14:paraId="79F459D5">
      <w:pPr>
        <w:spacing w:line="360" w:lineRule="auto"/>
        <w:ind w:firstLine="492"/>
        <w:jc w:val="left"/>
        <w:rPr>
          <w:rFonts w:ascii="宋体" w:hAnsi="宋体" w:cs="宋体"/>
          <w:bCs/>
          <w:color w:val="auto"/>
          <w:szCs w:val="21"/>
        </w:rPr>
      </w:pPr>
      <w:r>
        <w:rPr>
          <w:rFonts w:hint="eastAsia" w:ascii="宋体" w:hAnsi="宋体" w:cs="宋体"/>
          <w:bCs/>
          <w:color w:val="auto"/>
          <w:szCs w:val="21"/>
        </w:rPr>
        <w:t>主要专业技术能力有</w:t>
      </w:r>
      <w:r>
        <w:rPr>
          <w:rFonts w:hint="eastAsia" w:ascii="宋体" w:hAnsi="宋体" w:cs="宋体"/>
          <w:bCs/>
          <w:color w:val="auto"/>
          <w:szCs w:val="21"/>
          <w:lang w:eastAsia="zh-CN"/>
        </w:rPr>
        <w:t>：</w:t>
      </w:r>
    </w:p>
    <w:p w14:paraId="2F1F8B14">
      <w:pPr>
        <w:spacing w:line="360" w:lineRule="auto"/>
        <w:jc w:val="left"/>
        <w:rPr>
          <w:rFonts w:ascii="宋体" w:hAnsi="宋体" w:cs="宋体"/>
          <w:b/>
          <w:bCs/>
          <w:color w:val="auto"/>
        </w:rPr>
      </w:pPr>
    </w:p>
    <w:p w14:paraId="69FD8DCE">
      <w:pPr>
        <w:spacing w:line="360" w:lineRule="auto"/>
        <w:ind w:firstLine="1890" w:firstLineChars="900"/>
        <w:jc w:val="left"/>
        <w:rPr>
          <w:rFonts w:ascii="宋体" w:hAnsi="宋体" w:cs="宋体"/>
          <w:bCs/>
          <w:color w:val="auto"/>
        </w:rPr>
      </w:pPr>
      <w:r>
        <w:rPr>
          <w:rFonts w:hint="eastAsia" w:ascii="宋体" w:hAnsi="宋体" w:cs="宋体"/>
          <w:bCs/>
          <w:color w:val="auto"/>
        </w:rPr>
        <w:t>供应商名称（</w:t>
      </w:r>
      <w:r>
        <w:rPr>
          <w:rFonts w:hint="eastAsia" w:ascii="宋体" w:hAnsi="宋体" w:cs="宋体"/>
          <w:color w:val="auto"/>
          <w:szCs w:val="21"/>
        </w:rPr>
        <w:t>公章</w:t>
      </w:r>
      <w:r>
        <w:rPr>
          <w:rFonts w:hint="eastAsia" w:ascii="宋体" w:hAnsi="宋体" w:cs="宋体"/>
          <w:bCs/>
          <w:color w:val="auto"/>
        </w:rPr>
        <w:t>）：</w:t>
      </w:r>
    </w:p>
    <w:p w14:paraId="042D4CD7">
      <w:pPr>
        <w:spacing w:line="360" w:lineRule="auto"/>
        <w:ind w:firstLine="1890" w:firstLineChars="900"/>
        <w:jc w:val="left"/>
        <w:rPr>
          <w:rFonts w:ascii="宋体" w:hAnsi="宋体" w:cs="宋体"/>
          <w:bCs/>
          <w:color w:val="auto"/>
          <w:u w:val="single"/>
        </w:rPr>
      </w:pPr>
      <w:r>
        <w:rPr>
          <w:rFonts w:hint="eastAsia" w:ascii="宋体" w:hAnsi="宋体" w:cs="宋体"/>
          <w:bCs/>
          <w:color w:val="auto"/>
        </w:rPr>
        <w:t>法定代表人（签字或盖章）：</w:t>
      </w:r>
    </w:p>
    <w:p w14:paraId="718B6E3B">
      <w:pPr>
        <w:spacing w:line="360" w:lineRule="auto"/>
        <w:ind w:firstLine="1890" w:firstLineChars="900"/>
        <w:jc w:val="left"/>
        <w:rPr>
          <w:rFonts w:ascii="宋体" w:hAnsi="宋体" w:cs="宋体"/>
          <w:bCs/>
          <w:color w:val="auto"/>
        </w:rPr>
      </w:pPr>
      <w:r>
        <w:rPr>
          <w:rFonts w:hint="eastAsia" w:ascii="宋体" w:hAnsi="宋体" w:cs="宋体"/>
          <w:bCs/>
          <w:color w:val="auto"/>
        </w:rPr>
        <w:t>日期：年月日</w:t>
      </w:r>
    </w:p>
    <w:p w14:paraId="3B62FC47">
      <w:pPr>
        <w:pStyle w:val="120"/>
        <w:ind w:firstLine="422"/>
        <w:rPr>
          <w:rFonts w:ascii="宋体" w:hAnsi="宋体" w:cs="宋体"/>
          <w:b/>
          <w:bCs/>
          <w:color w:val="auto"/>
        </w:rPr>
      </w:pPr>
    </w:p>
    <w:p w14:paraId="7F753D6E">
      <w:pPr>
        <w:pStyle w:val="120"/>
        <w:ind w:firstLine="422"/>
        <w:rPr>
          <w:rFonts w:ascii="宋体" w:hAnsi="宋体" w:cs="宋体"/>
          <w:b/>
          <w:bCs/>
          <w:color w:val="auto"/>
        </w:rPr>
      </w:pPr>
    </w:p>
    <w:p w14:paraId="303748C9">
      <w:pPr>
        <w:spacing w:line="360" w:lineRule="auto"/>
        <w:jc w:val="center"/>
        <w:rPr>
          <w:rFonts w:ascii="宋体" w:hAnsi="宋体" w:cs="宋体"/>
          <w:b/>
          <w:bCs/>
          <w:color w:val="auto"/>
        </w:rPr>
      </w:pPr>
    </w:p>
    <w:p w14:paraId="1F5BB37E">
      <w:pPr>
        <w:spacing w:line="360" w:lineRule="auto"/>
        <w:jc w:val="center"/>
        <w:rPr>
          <w:rFonts w:ascii="宋体" w:hAnsi="宋体" w:cs="宋体"/>
          <w:b/>
          <w:bCs/>
          <w:color w:val="auto"/>
        </w:rPr>
      </w:pPr>
    </w:p>
    <w:p w14:paraId="05CF8871">
      <w:pPr>
        <w:spacing w:line="360" w:lineRule="auto"/>
        <w:jc w:val="center"/>
        <w:rPr>
          <w:rFonts w:ascii="宋体" w:hAnsi="宋体" w:cs="宋体"/>
          <w:b/>
          <w:bCs/>
          <w:color w:val="auto"/>
        </w:rPr>
      </w:pPr>
    </w:p>
    <w:p w14:paraId="0020B19C">
      <w:pPr>
        <w:spacing w:line="360" w:lineRule="auto"/>
        <w:jc w:val="center"/>
        <w:rPr>
          <w:rFonts w:ascii="宋体" w:hAnsi="宋体" w:cs="宋体"/>
          <w:b/>
          <w:color w:val="auto"/>
          <w:sz w:val="24"/>
        </w:rPr>
      </w:pPr>
      <w:r>
        <w:rPr>
          <w:rFonts w:hint="eastAsia" w:ascii="宋体" w:hAnsi="宋体" w:cs="宋体"/>
          <w:b/>
          <w:color w:val="auto"/>
          <w:sz w:val="24"/>
        </w:rPr>
        <w:t>参加本次政府采购活动前 3 年内在经营活动中没有重大违法记录的书面声明</w:t>
      </w:r>
    </w:p>
    <w:p w14:paraId="639C0053">
      <w:pPr>
        <w:spacing w:line="360" w:lineRule="auto"/>
        <w:jc w:val="left"/>
        <w:rPr>
          <w:rFonts w:ascii="宋体" w:hAnsi="宋体" w:cs="宋体"/>
          <w:color w:val="auto"/>
        </w:rPr>
      </w:pPr>
    </w:p>
    <w:p w14:paraId="37F16373">
      <w:pPr>
        <w:spacing w:line="360" w:lineRule="auto"/>
        <w:ind w:firstLine="420" w:firstLineChars="200"/>
        <w:jc w:val="left"/>
        <w:rPr>
          <w:rFonts w:ascii="宋体" w:hAnsi="宋体" w:cs="宋体"/>
          <w:bCs/>
          <w:color w:val="auto"/>
        </w:rPr>
      </w:pPr>
      <w:r>
        <w:rPr>
          <w:rFonts w:hint="eastAsia" w:ascii="宋体" w:hAnsi="宋体" w:cs="宋体"/>
          <w:bCs/>
          <w:color w:val="auto"/>
        </w:rPr>
        <w:t>我单位郑重声明：参加本次政府采购活动前 3 年内，我单位在经营活动中没有因违法经营受到刑事处罚或者责令停产停业、吊销许可证或者执照、较大数额罚款等行政处罚。</w:t>
      </w:r>
    </w:p>
    <w:p w14:paraId="07960EB0">
      <w:pPr>
        <w:spacing w:line="360" w:lineRule="auto"/>
        <w:ind w:firstLine="210" w:firstLineChars="100"/>
        <w:jc w:val="left"/>
        <w:rPr>
          <w:rFonts w:ascii="宋体" w:hAnsi="宋体" w:cs="宋体"/>
          <w:bCs/>
          <w:color w:val="auto"/>
        </w:rPr>
      </w:pPr>
    </w:p>
    <w:p w14:paraId="0DEEA284">
      <w:pPr>
        <w:spacing w:line="360" w:lineRule="auto"/>
        <w:ind w:firstLine="1890" w:firstLineChars="900"/>
        <w:jc w:val="left"/>
        <w:rPr>
          <w:rFonts w:ascii="宋体" w:hAnsi="宋体" w:cs="宋体"/>
          <w:bCs/>
          <w:color w:val="auto"/>
        </w:rPr>
      </w:pPr>
      <w:r>
        <w:rPr>
          <w:rFonts w:hint="eastAsia" w:ascii="宋体" w:hAnsi="宋体" w:cs="宋体"/>
          <w:bCs/>
          <w:color w:val="auto"/>
        </w:rPr>
        <w:t>供应商名称（</w:t>
      </w:r>
      <w:r>
        <w:rPr>
          <w:rFonts w:hint="eastAsia" w:ascii="宋体" w:hAnsi="宋体" w:cs="宋体"/>
          <w:color w:val="auto"/>
          <w:szCs w:val="21"/>
        </w:rPr>
        <w:t>公章</w:t>
      </w:r>
      <w:r>
        <w:rPr>
          <w:rFonts w:hint="eastAsia" w:ascii="宋体" w:hAnsi="宋体" w:cs="宋体"/>
          <w:bCs/>
          <w:color w:val="auto"/>
        </w:rPr>
        <w:t>）：</w:t>
      </w:r>
    </w:p>
    <w:p w14:paraId="28C13D85">
      <w:pPr>
        <w:spacing w:line="360" w:lineRule="auto"/>
        <w:ind w:firstLine="1890" w:firstLineChars="900"/>
        <w:jc w:val="left"/>
        <w:rPr>
          <w:rFonts w:ascii="宋体" w:hAnsi="宋体" w:cs="宋体"/>
          <w:bCs/>
          <w:color w:val="auto"/>
          <w:u w:val="single"/>
        </w:rPr>
      </w:pPr>
      <w:r>
        <w:rPr>
          <w:rFonts w:hint="eastAsia" w:ascii="宋体" w:hAnsi="宋体" w:cs="宋体"/>
          <w:bCs/>
          <w:color w:val="auto"/>
        </w:rPr>
        <w:t>法定代表人（签字或盖章）：</w:t>
      </w:r>
    </w:p>
    <w:p w14:paraId="27A8327F">
      <w:pPr>
        <w:spacing w:line="360" w:lineRule="auto"/>
        <w:ind w:firstLine="1890" w:firstLineChars="900"/>
        <w:jc w:val="left"/>
        <w:rPr>
          <w:rFonts w:ascii="宋体" w:hAnsi="宋体" w:cs="宋体"/>
          <w:bCs/>
          <w:color w:val="auto"/>
        </w:rPr>
      </w:pPr>
      <w:r>
        <w:rPr>
          <w:rFonts w:hint="eastAsia" w:ascii="宋体" w:hAnsi="宋体" w:cs="宋体"/>
          <w:bCs/>
          <w:color w:val="auto"/>
        </w:rPr>
        <w:t>日期：年月日</w:t>
      </w:r>
    </w:p>
    <w:p w14:paraId="5656A749">
      <w:pPr>
        <w:spacing w:line="360" w:lineRule="auto"/>
        <w:jc w:val="left"/>
        <w:rPr>
          <w:rFonts w:ascii="宋体" w:hAnsi="宋体" w:cs="宋体"/>
          <w:b/>
          <w:bCs/>
          <w:color w:val="auto"/>
        </w:rPr>
        <w:sectPr>
          <w:pgSz w:w="11906" w:h="16838"/>
          <w:pgMar w:top="1270" w:right="1083" w:bottom="1270" w:left="1083" w:header="1191" w:footer="992" w:gutter="0"/>
          <w:pgBorders>
            <w:top w:val="none" w:sz="0" w:space="0"/>
            <w:left w:val="none" w:sz="0" w:space="0"/>
            <w:bottom w:val="none" w:sz="0" w:space="0"/>
            <w:right w:val="none" w:sz="0" w:space="0"/>
          </w:pgBorders>
          <w:cols w:space="0" w:num="1"/>
          <w:docGrid w:type="lines" w:linePitch="325" w:charSpace="0"/>
        </w:sectPr>
      </w:pPr>
    </w:p>
    <w:p w14:paraId="0B2AEBFB">
      <w:pPr>
        <w:spacing w:line="360" w:lineRule="auto"/>
        <w:jc w:val="center"/>
        <w:rPr>
          <w:rFonts w:ascii="宋体" w:hAnsi="宋体" w:cs="宋体"/>
          <w:b/>
          <w:color w:val="auto"/>
          <w:sz w:val="24"/>
        </w:rPr>
      </w:pPr>
      <w:r>
        <w:rPr>
          <w:rFonts w:hint="eastAsia" w:ascii="宋体" w:hAnsi="宋体" w:cs="宋体"/>
          <w:b/>
          <w:color w:val="auto"/>
          <w:sz w:val="24"/>
        </w:rPr>
        <w:t>供应商信用承诺书</w:t>
      </w:r>
    </w:p>
    <w:p w14:paraId="271C273F">
      <w:pPr>
        <w:spacing w:line="360" w:lineRule="auto"/>
        <w:jc w:val="left"/>
        <w:rPr>
          <w:rFonts w:ascii="宋体" w:hAnsi="宋体" w:cs="宋体"/>
          <w:color w:val="auto"/>
          <w:szCs w:val="32"/>
        </w:rPr>
      </w:pPr>
    </w:p>
    <w:p w14:paraId="21D65382">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承诺主体名称：</w:t>
      </w:r>
    </w:p>
    <w:p w14:paraId="2E5F35ED">
      <w:pPr>
        <w:spacing w:line="360" w:lineRule="auto"/>
        <w:ind w:firstLine="420" w:firstLineChars="200"/>
        <w:jc w:val="left"/>
        <w:rPr>
          <w:rFonts w:ascii="宋体" w:hAnsi="宋体" w:cs="宋体"/>
          <w:color w:val="auto"/>
          <w:szCs w:val="21"/>
        </w:rPr>
      </w:pPr>
      <w:r>
        <w:rPr>
          <w:rFonts w:hint="eastAsia" w:ascii="宋体" w:hAnsi="宋体" w:cs="宋体"/>
          <w:color w:val="auto"/>
          <w:szCs w:val="21"/>
        </w:rPr>
        <w:t>统一社会信用代码：</w:t>
      </w:r>
    </w:p>
    <w:p w14:paraId="66E6EA9D">
      <w:pPr>
        <w:spacing w:line="360" w:lineRule="auto"/>
        <w:ind w:firstLine="420" w:firstLineChars="200"/>
        <w:jc w:val="left"/>
        <w:rPr>
          <w:rFonts w:ascii="宋体" w:hAnsi="宋体" w:cs="宋体"/>
          <w:color w:val="auto"/>
          <w:szCs w:val="21"/>
        </w:rPr>
      </w:pPr>
      <w:r>
        <w:rPr>
          <w:rFonts w:hint="eastAsia" w:ascii="宋体" w:hAnsi="宋体" w:cs="宋体"/>
          <w:color w:val="auto"/>
          <w:szCs w:val="21"/>
        </w:rPr>
        <w:t> </w:t>
      </w:r>
    </w:p>
    <w:p w14:paraId="78262D44">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为维护公平竞争、规范有序的市场秩序，营造诚实守信的信用环境，共同推进社会信用体系建设完善，树立企业诚信守法形象，本企业对________________________项目政府采购活动郑重承诺如下：</w:t>
      </w:r>
    </w:p>
    <w:p w14:paraId="4AF52A16">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一、对提供给注册登记部门、行业管理部门、司法部门、行业组织以及在政府采购活动中提交的所有资料的合法性、真实性、准确性和有效性负责；</w:t>
      </w:r>
    </w:p>
    <w:p w14:paraId="486194B8">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二、严格按照国家</w:t>
      </w:r>
      <w:r>
        <w:rPr>
          <w:rFonts w:hint="eastAsia" w:ascii="宋体" w:hAnsi="宋体" w:cs="宋体"/>
          <w:color w:val="auto"/>
          <w:szCs w:val="21"/>
          <w:lang w:eastAsia="zh-CN"/>
        </w:rPr>
        <w:t>法律法规</w:t>
      </w:r>
      <w:r>
        <w:rPr>
          <w:rFonts w:hint="eastAsia" w:ascii="宋体" w:hAnsi="宋体" w:cs="宋体"/>
          <w:color w:val="auto"/>
          <w:szCs w:val="21"/>
        </w:rPr>
        <w:t>和规章开展采购活动，全面履行应尽的责任和义务，全面做到履约守信，具备《中华人民共和国政府采购法》第二十二条第一款规定的条件</w:t>
      </w:r>
      <w:r>
        <w:rPr>
          <w:rFonts w:hint="eastAsia" w:ascii="宋体" w:hAnsi="宋体" w:cs="宋体"/>
          <w:color w:val="auto"/>
          <w:szCs w:val="21"/>
          <w:lang w:eastAsia="zh-CN"/>
        </w:rPr>
        <w:t>；</w:t>
      </w:r>
    </w:p>
    <w:p w14:paraId="796EAA55">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三、严格依法开展生产经营活动，主动接受行业监管，自愿接受依法开展的日常检查；违法失信经营后将自愿接受约束和惩戒，并依法承担相应责任；</w:t>
      </w:r>
    </w:p>
    <w:p w14:paraId="3FE8F02B">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四、自觉接受行政管理部门、行业组织、社会公众、新闻舆论的监督；</w:t>
      </w:r>
    </w:p>
    <w:p w14:paraId="0A6AB86F">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五、自觉做到自我约束、自我管理，不制假售假、商标侵权、虚假宣传、违约毁约、恶意逃债、偷税漏税、垄断和不正当竞争，维护经营者、消费者的合法权益；</w:t>
      </w:r>
    </w:p>
    <w:p w14:paraId="4B836CEA">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六、提出政府采购质疑和投诉坚持依法依规、诚实信用原则，在全国范围12个月内没有三次以上查无实据的政府采购投诉；</w:t>
      </w:r>
    </w:p>
    <w:p w14:paraId="5F89545F">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七、严格遵守信用信息公示相关规定，向社会公示信用信息；</w:t>
      </w:r>
    </w:p>
    <w:p w14:paraId="274C65A0">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八、在“信用中国”和“中国政府采购网”网站中无严重失信记录；</w:t>
      </w:r>
    </w:p>
    <w:p w14:paraId="415EE444">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九、如违反承诺，自愿接受管理部门依法给予的行政处罚，同意将违反承诺的行为作为不良记录记入信用档案，依法依规进行信息公示，并承担所产生的一切法律责任和经济损失。</w:t>
      </w:r>
    </w:p>
    <w:p w14:paraId="49D19A95">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十、本承诺书自签订之日起生效。</w:t>
      </w:r>
    </w:p>
    <w:p w14:paraId="36624570">
      <w:pPr>
        <w:spacing w:line="360" w:lineRule="auto"/>
        <w:ind w:firstLine="420" w:firstLineChars="200"/>
        <w:jc w:val="left"/>
        <w:rPr>
          <w:rFonts w:ascii="宋体" w:hAnsi="宋体" w:cs="宋体"/>
          <w:color w:val="auto"/>
          <w:szCs w:val="21"/>
        </w:rPr>
      </w:pPr>
      <w:r>
        <w:rPr>
          <w:rFonts w:hint="eastAsia" w:ascii="宋体" w:hAnsi="宋体" w:cs="宋体"/>
          <w:color w:val="auto"/>
          <w:szCs w:val="21"/>
        </w:rPr>
        <w:t> （注：法定代表人或负责人、主体名称发生变更的应当重新作出承诺。）</w:t>
      </w:r>
    </w:p>
    <w:p w14:paraId="39E216C3">
      <w:pPr>
        <w:spacing w:line="360" w:lineRule="auto"/>
        <w:ind w:firstLine="420" w:firstLineChars="200"/>
        <w:jc w:val="left"/>
        <w:rPr>
          <w:rFonts w:ascii="宋体" w:hAnsi="宋体" w:cs="宋体"/>
          <w:color w:val="auto"/>
          <w:szCs w:val="21"/>
        </w:rPr>
      </w:pPr>
      <w:r>
        <w:rPr>
          <w:rFonts w:hint="eastAsia" w:ascii="宋体" w:hAnsi="宋体" w:cs="宋体"/>
          <w:color w:val="auto"/>
          <w:szCs w:val="21"/>
        </w:rPr>
        <w:t> </w:t>
      </w:r>
    </w:p>
    <w:p w14:paraId="041FD6D5">
      <w:pPr>
        <w:spacing w:line="360" w:lineRule="auto"/>
        <w:ind w:firstLine="420" w:firstLineChars="200"/>
        <w:jc w:val="center"/>
        <w:rPr>
          <w:rFonts w:ascii="宋体" w:hAnsi="宋体" w:cs="宋体"/>
          <w:color w:val="auto"/>
          <w:szCs w:val="21"/>
        </w:rPr>
      </w:pPr>
      <w:r>
        <w:rPr>
          <w:rFonts w:hint="eastAsia" w:ascii="宋体" w:hAnsi="宋体" w:cs="宋体"/>
          <w:color w:val="auto"/>
          <w:szCs w:val="21"/>
        </w:rPr>
        <w:t>承诺单位（公章）：</w:t>
      </w:r>
    </w:p>
    <w:p w14:paraId="22A29BA9">
      <w:pPr>
        <w:spacing w:line="360" w:lineRule="auto"/>
        <w:ind w:firstLine="420" w:firstLineChars="200"/>
        <w:jc w:val="right"/>
        <w:rPr>
          <w:rFonts w:ascii="宋体" w:hAnsi="宋体" w:cs="宋体"/>
          <w:b/>
          <w:bCs/>
          <w:color w:val="auto"/>
        </w:rPr>
        <w:sectPr>
          <w:pgSz w:w="11906" w:h="16838"/>
          <w:pgMar w:top="1270" w:right="1083" w:bottom="1270" w:left="1083" w:header="1191" w:footer="992" w:gutter="0"/>
          <w:pgBorders>
            <w:top w:val="none" w:sz="0" w:space="0"/>
            <w:left w:val="none" w:sz="0" w:space="0"/>
            <w:bottom w:val="none" w:sz="0" w:space="0"/>
            <w:right w:val="none" w:sz="0" w:space="0"/>
          </w:pgBorders>
          <w:cols w:space="0" w:num="1"/>
          <w:docGrid w:type="lines" w:linePitch="325" w:charSpace="0"/>
        </w:sectPr>
      </w:pPr>
      <w:r>
        <w:rPr>
          <w:rFonts w:hint="eastAsia" w:ascii="宋体" w:hAnsi="宋体" w:cs="宋体"/>
          <w:color w:val="auto"/>
          <w:szCs w:val="21"/>
        </w:rPr>
        <w:t>          年  月  日</w:t>
      </w:r>
    </w:p>
    <w:p w14:paraId="009ECFBA">
      <w:pPr>
        <w:spacing w:line="360" w:lineRule="auto"/>
        <w:jc w:val="center"/>
        <w:rPr>
          <w:rFonts w:ascii="宋体" w:hAnsi="宋体" w:cs="宋体"/>
          <w:b/>
          <w:color w:val="auto"/>
          <w:szCs w:val="21"/>
        </w:rPr>
      </w:pPr>
      <w:r>
        <w:rPr>
          <w:rFonts w:hint="eastAsia" w:ascii="宋体" w:hAnsi="宋体" w:cs="宋体"/>
          <w:b/>
          <w:color w:val="auto"/>
          <w:sz w:val="24"/>
        </w:rPr>
        <w:t>三、磋商响应函</w:t>
      </w:r>
    </w:p>
    <w:p w14:paraId="2F82A692">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致：江苏苏维工程管理有限公司</w:t>
      </w:r>
    </w:p>
    <w:p w14:paraId="1F5D8677">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根据贵方的号磋商文件，正式授权下述签字人（姓名和职务）代表我方___（供应商的名称），全权处理本次项目磋商采购的有关事宜。</w:t>
      </w:r>
    </w:p>
    <w:p w14:paraId="50370492">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据此函，__________（签字人）兹宣布同意如下：</w:t>
      </w:r>
    </w:p>
    <w:p w14:paraId="514158AA">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1.按磋商文件规定的各项要求，向买方提供所需服务/工程。</w:t>
      </w:r>
    </w:p>
    <w:p w14:paraId="6E5F6564">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2.我们已详细审核全部磋商文件及其有效补充文件，我们知道必须放弃提出含糊不清或误解问题的权利。</w:t>
      </w:r>
    </w:p>
    <w:p w14:paraId="5BD0EA0F">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3.我们同意从规定的响应文件接收截止时间起遵循本响应文件，并在规定的磋商有效期期满之前均具有约束力。</w:t>
      </w:r>
    </w:p>
    <w:p w14:paraId="6E5E2C85">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4.如果在响应文件接收截止时间后规定的磋商有效期内撤回响应文件或成交后拒绝签订合同，我们的磋商保证金可被贵方没收。</w:t>
      </w:r>
    </w:p>
    <w:p w14:paraId="79832F3D">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5.同意向贵方提供贵方可能另外要求的与磋商采购有关的任何证据或资料，并保证我方已提供和将要提供的文件是真实的、准确的。</w:t>
      </w:r>
    </w:p>
    <w:p w14:paraId="09499F83">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6.一旦我方成交，我方将根据磋商文件的规定，严格履行合同的责任和义务，并保证在磋商文件规定的时</w:t>
      </w:r>
      <w:r>
        <w:rPr>
          <w:rFonts w:hint="eastAsia" w:ascii="宋体" w:hAnsi="宋体" w:cs="宋体"/>
          <w:color w:val="auto"/>
          <w:sz w:val="21"/>
          <w:szCs w:val="21"/>
          <w:lang w:eastAsia="zh-CN"/>
        </w:rPr>
        <w:t>间内</w:t>
      </w:r>
      <w:r>
        <w:rPr>
          <w:rFonts w:hint="eastAsia" w:ascii="宋体" w:hAnsi="宋体" w:cs="宋体"/>
          <w:color w:val="auto"/>
          <w:sz w:val="21"/>
          <w:szCs w:val="21"/>
        </w:rPr>
        <w:t>完成项目，交付买方验收、使用。</w:t>
      </w:r>
    </w:p>
    <w:p w14:paraId="3F1C8871">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7.遵守磋商文件中要求的收费项目和标准。</w:t>
      </w:r>
    </w:p>
    <w:p w14:paraId="1B62DE77">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8.与本磋商采购有关的正式通讯地址为：</w:t>
      </w:r>
    </w:p>
    <w:p w14:paraId="1A45B6E7">
      <w:pPr>
        <w:pStyle w:val="91"/>
        <w:spacing w:line="360" w:lineRule="auto"/>
        <w:ind w:firstLine="420"/>
        <w:rPr>
          <w:rFonts w:ascii="宋体" w:hAnsi="宋体" w:cs="宋体"/>
          <w:color w:val="auto"/>
          <w:sz w:val="21"/>
          <w:szCs w:val="21"/>
        </w:rPr>
      </w:pPr>
    </w:p>
    <w:p w14:paraId="6FB414C4">
      <w:pPr>
        <w:pStyle w:val="91"/>
        <w:spacing w:line="360" w:lineRule="auto"/>
        <w:ind w:firstLine="420"/>
        <w:rPr>
          <w:rFonts w:ascii="宋体" w:hAnsi="宋体" w:cs="宋体"/>
          <w:color w:val="auto"/>
          <w:sz w:val="21"/>
          <w:szCs w:val="21"/>
        </w:rPr>
      </w:pPr>
    </w:p>
    <w:p w14:paraId="2EF92A2D">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地 址：                         邮 编：</w:t>
      </w:r>
    </w:p>
    <w:p w14:paraId="3F839ABC">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电 话：                         传 真：</w:t>
      </w:r>
    </w:p>
    <w:p w14:paraId="666D1482">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供应商开户行：                  账 户：</w:t>
      </w:r>
    </w:p>
    <w:p w14:paraId="6DE14E64">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法定代表人或授权代表姓名</w:t>
      </w:r>
      <w:r>
        <w:rPr>
          <w:rFonts w:hint="eastAsia" w:ascii="宋体" w:hAnsi="宋体" w:cs="宋体"/>
          <w:bCs/>
          <w:color w:val="auto"/>
          <w:sz w:val="21"/>
          <w:szCs w:val="21"/>
        </w:rPr>
        <w:t>（签字或盖章）</w:t>
      </w:r>
      <w:r>
        <w:rPr>
          <w:rFonts w:hint="eastAsia" w:ascii="宋体" w:hAnsi="宋体" w:cs="宋体"/>
          <w:color w:val="auto"/>
          <w:sz w:val="21"/>
          <w:szCs w:val="21"/>
        </w:rPr>
        <w:t>：     联系电话：</w:t>
      </w:r>
    </w:p>
    <w:p w14:paraId="3C18D8B0">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磋商供应商全称（盖章）：</w:t>
      </w:r>
    </w:p>
    <w:p w14:paraId="2563A176">
      <w:pPr>
        <w:pStyle w:val="49"/>
        <w:spacing w:line="360" w:lineRule="auto"/>
        <w:ind w:firstLine="420"/>
        <w:rPr>
          <w:rFonts w:ascii="宋体" w:hAnsi="宋体" w:cs="宋体"/>
          <w:color w:val="auto"/>
          <w:szCs w:val="21"/>
        </w:rPr>
      </w:pPr>
      <w:r>
        <w:rPr>
          <w:rFonts w:hint="eastAsia" w:ascii="宋体" w:hAnsi="宋体" w:cs="宋体"/>
          <w:color w:val="auto"/>
          <w:szCs w:val="21"/>
        </w:rPr>
        <w:t>日 期：________年____月____日</w:t>
      </w:r>
    </w:p>
    <w:p w14:paraId="000E4143">
      <w:pPr>
        <w:spacing w:line="360" w:lineRule="auto"/>
        <w:jc w:val="center"/>
        <w:rPr>
          <w:rFonts w:ascii="宋体" w:hAnsi="宋体" w:cs="宋体"/>
          <w:b/>
          <w:color w:val="auto"/>
          <w:szCs w:val="21"/>
        </w:rPr>
      </w:pPr>
      <w:r>
        <w:rPr>
          <w:rFonts w:hint="eastAsia" w:ascii="宋体" w:hAnsi="宋体" w:cs="宋体"/>
          <w:b/>
          <w:color w:val="auto"/>
          <w:szCs w:val="21"/>
        </w:rPr>
        <w:br w:type="page"/>
      </w:r>
      <w:r>
        <w:rPr>
          <w:rFonts w:hint="eastAsia" w:ascii="宋体" w:hAnsi="宋体" w:cs="宋体"/>
          <w:b/>
          <w:color w:val="auto"/>
          <w:sz w:val="24"/>
        </w:rPr>
        <w:t>四、资格声明</w:t>
      </w:r>
    </w:p>
    <w:p w14:paraId="754A3C62">
      <w:pPr>
        <w:spacing w:line="360" w:lineRule="auto"/>
        <w:rPr>
          <w:rFonts w:ascii="宋体" w:hAnsi="宋体" w:cs="宋体"/>
          <w:color w:val="auto"/>
          <w:kern w:val="1"/>
          <w:szCs w:val="21"/>
        </w:rPr>
      </w:pPr>
      <w:r>
        <w:rPr>
          <w:rFonts w:hint="eastAsia" w:ascii="宋体" w:hAnsi="宋体" w:cs="宋体"/>
          <w:color w:val="auto"/>
          <w:kern w:val="1"/>
          <w:szCs w:val="21"/>
        </w:rPr>
        <w:t>1.名称及其它情况：</w:t>
      </w:r>
    </w:p>
    <w:p w14:paraId="542C86A2">
      <w:pPr>
        <w:spacing w:line="360" w:lineRule="auto"/>
        <w:rPr>
          <w:rFonts w:ascii="宋体" w:hAnsi="宋体" w:cs="宋体"/>
          <w:color w:val="auto"/>
          <w:kern w:val="1"/>
          <w:szCs w:val="21"/>
        </w:rPr>
      </w:pPr>
      <w:r>
        <w:rPr>
          <w:rFonts w:hint="eastAsia" w:ascii="宋体" w:hAnsi="宋体" w:cs="宋体"/>
          <w:color w:val="auto"/>
          <w:kern w:val="1"/>
          <w:szCs w:val="21"/>
        </w:rPr>
        <w:t>（1）供应商名称：</w:t>
      </w:r>
    </w:p>
    <w:p w14:paraId="7C0BC209">
      <w:pPr>
        <w:tabs>
          <w:tab w:val="left" w:pos="4740"/>
        </w:tabs>
        <w:spacing w:line="360" w:lineRule="auto"/>
        <w:rPr>
          <w:rFonts w:ascii="宋体" w:hAnsi="宋体" w:cs="宋体"/>
          <w:color w:val="auto"/>
          <w:kern w:val="1"/>
          <w:szCs w:val="21"/>
        </w:rPr>
      </w:pPr>
      <w:r>
        <w:rPr>
          <w:rFonts w:hint="eastAsia" w:ascii="宋体" w:hAnsi="宋体" w:cs="宋体"/>
          <w:color w:val="auto"/>
          <w:kern w:val="1"/>
          <w:szCs w:val="21"/>
        </w:rPr>
        <w:t>（2）地址：</w:t>
      </w:r>
      <w:r>
        <w:rPr>
          <w:rFonts w:hint="eastAsia" w:ascii="宋体" w:hAnsi="宋体" w:cs="宋体"/>
          <w:color w:val="auto"/>
          <w:kern w:val="1"/>
          <w:szCs w:val="21"/>
        </w:rPr>
        <w:tab/>
      </w:r>
      <w:r>
        <w:rPr>
          <w:rFonts w:hint="eastAsia" w:ascii="宋体" w:hAnsi="宋体" w:cs="宋体"/>
          <w:color w:val="auto"/>
          <w:kern w:val="1"/>
          <w:szCs w:val="21"/>
        </w:rPr>
        <w:t>邮编：</w:t>
      </w:r>
    </w:p>
    <w:p w14:paraId="50ABE7E3">
      <w:pPr>
        <w:tabs>
          <w:tab w:val="left" w:pos="600"/>
          <w:tab w:val="left" w:pos="4320"/>
        </w:tabs>
        <w:spacing w:line="360" w:lineRule="auto"/>
        <w:rPr>
          <w:rFonts w:ascii="宋体" w:hAnsi="宋体" w:cs="宋体"/>
          <w:color w:val="auto"/>
          <w:kern w:val="1"/>
          <w:szCs w:val="21"/>
        </w:rPr>
      </w:pPr>
      <w:r>
        <w:rPr>
          <w:rFonts w:hint="eastAsia" w:ascii="宋体" w:hAnsi="宋体" w:cs="宋体"/>
          <w:color w:val="auto"/>
          <w:kern w:val="1"/>
          <w:szCs w:val="21"/>
        </w:rPr>
        <w:t>电话：   传真：</w:t>
      </w:r>
    </w:p>
    <w:p w14:paraId="776C0B76">
      <w:pPr>
        <w:spacing w:line="360" w:lineRule="auto"/>
        <w:rPr>
          <w:rFonts w:ascii="宋体" w:hAnsi="宋体" w:cs="宋体"/>
          <w:color w:val="auto"/>
          <w:kern w:val="1"/>
          <w:szCs w:val="21"/>
          <w:u w:val="single"/>
        </w:rPr>
      </w:pPr>
      <w:r>
        <w:rPr>
          <w:rFonts w:hint="eastAsia" w:ascii="宋体" w:hAnsi="宋体" w:cs="宋体"/>
          <w:color w:val="auto"/>
          <w:kern w:val="1"/>
          <w:szCs w:val="21"/>
        </w:rPr>
        <w:t>（3）成立和/或注册日期：</w:t>
      </w:r>
    </w:p>
    <w:p w14:paraId="1B5F8874">
      <w:pPr>
        <w:spacing w:line="360" w:lineRule="auto"/>
        <w:rPr>
          <w:rFonts w:ascii="宋体" w:hAnsi="宋体" w:cs="宋体"/>
          <w:color w:val="auto"/>
          <w:kern w:val="1"/>
          <w:szCs w:val="21"/>
        </w:rPr>
      </w:pPr>
      <w:r>
        <w:rPr>
          <w:rFonts w:hint="eastAsia" w:ascii="宋体" w:hAnsi="宋体" w:cs="宋体"/>
          <w:color w:val="auto"/>
          <w:kern w:val="1"/>
          <w:szCs w:val="21"/>
        </w:rPr>
        <w:t>（4）法定代表人：</w:t>
      </w:r>
    </w:p>
    <w:p w14:paraId="3C3C3EE6">
      <w:pPr>
        <w:spacing w:line="360" w:lineRule="auto"/>
        <w:rPr>
          <w:rFonts w:ascii="宋体" w:hAnsi="宋体" w:cs="宋体"/>
          <w:color w:val="auto"/>
          <w:kern w:val="1"/>
          <w:szCs w:val="21"/>
          <w:u w:val="single"/>
        </w:rPr>
      </w:pPr>
      <w:r>
        <w:rPr>
          <w:rFonts w:hint="eastAsia" w:ascii="宋体" w:hAnsi="宋体" w:cs="宋体"/>
          <w:color w:val="auto"/>
          <w:kern w:val="1"/>
          <w:szCs w:val="21"/>
        </w:rPr>
        <w:t>（5）实收资本：</w:t>
      </w:r>
    </w:p>
    <w:p w14:paraId="2668E112">
      <w:pPr>
        <w:spacing w:line="360" w:lineRule="auto"/>
        <w:rPr>
          <w:rFonts w:ascii="宋体" w:hAnsi="宋体" w:cs="宋体"/>
          <w:color w:val="auto"/>
          <w:kern w:val="1"/>
          <w:szCs w:val="21"/>
        </w:rPr>
      </w:pPr>
      <w:r>
        <w:rPr>
          <w:rFonts w:hint="eastAsia" w:ascii="宋体" w:hAnsi="宋体" w:cs="宋体"/>
          <w:color w:val="auto"/>
          <w:kern w:val="1"/>
          <w:szCs w:val="21"/>
        </w:rPr>
        <w:t>（6）近期资产负债表：（到</w:t>
      </w:r>
      <w:r>
        <w:rPr>
          <w:rFonts w:hint="eastAsia" w:ascii="宋体" w:hAnsi="宋体" w:cs="宋体"/>
          <w:color w:val="auto"/>
          <w:kern w:val="1"/>
          <w:szCs w:val="21"/>
          <w:u w:val="single"/>
        </w:rPr>
        <w:t>20  年12月31日</w:t>
      </w:r>
      <w:r>
        <w:rPr>
          <w:rFonts w:hint="eastAsia" w:ascii="宋体" w:hAnsi="宋体" w:cs="宋体"/>
          <w:color w:val="auto"/>
          <w:kern w:val="1"/>
          <w:szCs w:val="21"/>
        </w:rPr>
        <w:t>）</w:t>
      </w:r>
    </w:p>
    <w:p w14:paraId="3B304F20">
      <w:pPr>
        <w:spacing w:line="360" w:lineRule="auto"/>
        <w:rPr>
          <w:rFonts w:ascii="宋体" w:hAnsi="宋体" w:cs="宋体"/>
          <w:color w:val="auto"/>
          <w:kern w:val="1"/>
          <w:szCs w:val="21"/>
        </w:rPr>
      </w:pPr>
      <w:r>
        <w:rPr>
          <w:rFonts w:hint="eastAsia" w:ascii="宋体" w:hAnsi="宋体" w:cs="宋体"/>
          <w:color w:val="auto"/>
          <w:kern w:val="1"/>
          <w:szCs w:val="21"/>
        </w:rPr>
        <w:t>&lt;1&gt; 固定资产：</w:t>
      </w:r>
    </w:p>
    <w:p w14:paraId="005C2E52">
      <w:pPr>
        <w:spacing w:line="360" w:lineRule="auto"/>
        <w:rPr>
          <w:rFonts w:ascii="宋体" w:hAnsi="宋体" w:cs="宋体"/>
          <w:color w:val="auto"/>
          <w:kern w:val="1"/>
          <w:szCs w:val="21"/>
        </w:rPr>
      </w:pPr>
      <w:r>
        <w:rPr>
          <w:rFonts w:hint="eastAsia" w:ascii="宋体" w:hAnsi="宋体" w:cs="宋体"/>
          <w:color w:val="auto"/>
          <w:kern w:val="1"/>
          <w:szCs w:val="21"/>
        </w:rPr>
        <w:t>&lt;2&gt; 流动资金：</w:t>
      </w:r>
    </w:p>
    <w:p w14:paraId="1AE6F341">
      <w:pPr>
        <w:spacing w:line="360" w:lineRule="auto"/>
        <w:rPr>
          <w:rFonts w:ascii="宋体" w:hAnsi="宋体" w:cs="宋体"/>
          <w:color w:val="auto"/>
          <w:kern w:val="1"/>
          <w:szCs w:val="21"/>
        </w:rPr>
      </w:pPr>
      <w:r>
        <w:rPr>
          <w:rFonts w:hint="eastAsia" w:ascii="宋体" w:hAnsi="宋体" w:cs="宋体"/>
          <w:color w:val="auto"/>
          <w:kern w:val="1"/>
          <w:szCs w:val="21"/>
        </w:rPr>
        <w:t>&lt;3&gt; 长期负债：</w:t>
      </w:r>
    </w:p>
    <w:p w14:paraId="290BB541">
      <w:pPr>
        <w:spacing w:line="360" w:lineRule="auto"/>
        <w:rPr>
          <w:rFonts w:ascii="宋体" w:hAnsi="宋体" w:cs="宋体"/>
          <w:color w:val="auto"/>
          <w:kern w:val="1"/>
          <w:szCs w:val="21"/>
        </w:rPr>
      </w:pPr>
      <w:r>
        <w:rPr>
          <w:rFonts w:hint="eastAsia" w:ascii="宋体" w:hAnsi="宋体" w:cs="宋体"/>
          <w:color w:val="auto"/>
          <w:kern w:val="1"/>
          <w:szCs w:val="21"/>
        </w:rPr>
        <w:t>&lt;4&gt; 短期负债：</w:t>
      </w:r>
    </w:p>
    <w:p w14:paraId="5F5C9C1B">
      <w:pPr>
        <w:spacing w:line="360" w:lineRule="auto"/>
        <w:rPr>
          <w:rFonts w:ascii="宋体" w:hAnsi="宋体" w:cs="宋体"/>
          <w:color w:val="auto"/>
          <w:kern w:val="1"/>
          <w:szCs w:val="21"/>
        </w:rPr>
      </w:pPr>
      <w:r>
        <w:rPr>
          <w:rFonts w:hint="eastAsia" w:ascii="宋体" w:hAnsi="宋体" w:cs="宋体"/>
          <w:color w:val="auto"/>
          <w:kern w:val="1"/>
          <w:szCs w:val="21"/>
          <w:lang w:eastAsia="zh-CN"/>
        </w:rPr>
        <w:t>2.</w:t>
      </w:r>
      <w:r>
        <w:rPr>
          <w:rFonts w:hint="eastAsia" w:ascii="宋体" w:hAnsi="宋体" w:cs="宋体"/>
          <w:color w:val="auto"/>
          <w:kern w:val="1"/>
          <w:szCs w:val="21"/>
        </w:rPr>
        <w:t>近三年同类货物和服务的主要销售业绩（无有效联系人、联系方式和合同复印件的视为未填报本项目）：</w:t>
      </w:r>
    </w:p>
    <w:tbl>
      <w:tblPr>
        <w:tblStyle w:val="30"/>
        <w:tblW w:w="8559" w:type="dxa"/>
        <w:jc w:val="center"/>
        <w:tblLayout w:type="autofit"/>
        <w:tblCellMar>
          <w:top w:w="0" w:type="dxa"/>
          <w:left w:w="108" w:type="dxa"/>
          <w:bottom w:w="0" w:type="dxa"/>
          <w:right w:w="108" w:type="dxa"/>
        </w:tblCellMar>
      </w:tblPr>
      <w:tblGrid>
        <w:gridCol w:w="4290"/>
        <w:gridCol w:w="4269"/>
      </w:tblGrid>
      <w:tr w14:paraId="410FE85B">
        <w:tblPrEx>
          <w:tblCellMar>
            <w:top w:w="0" w:type="dxa"/>
            <w:left w:w="108" w:type="dxa"/>
            <w:bottom w:w="0" w:type="dxa"/>
            <w:right w:w="108" w:type="dxa"/>
          </w:tblCellMar>
        </w:tblPrEx>
        <w:trPr>
          <w:trHeight w:val="310" w:hRule="atLeast"/>
          <w:jc w:val="center"/>
        </w:trPr>
        <w:tc>
          <w:tcPr>
            <w:tcW w:w="4290" w:type="dxa"/>
            <w:noWrap/>
          </w:tcPr>
          <w:p w14:paraId="45291433">
            <w:pPr>
              <w:spacing w:line="360" w:lineRule="auto"/>
              <w:jc w:val="center"/>
              <w:rPr>
                <w:rFonts w:ascii="宋体" w:hAnsi="宋体" w:cs="宋体"/>
                <w:color w:val="auto"/>
                <w:kern w:val="1"/>
                <w:szCs w:val="21"/>
                <w:u w:val="single"/>
              </w:rPr>
            </w:pPr>
            <w:r>
              <w:rPr>
                <w:rFonts w:hint="eastAsia" w:ascii="宋体" w:hAnsi="宋体" w:cs="宋体"/>
                <w:color w:val="auto"/>
                <w:kern w:val="1"/>
                <w:szCs w:val="21"/>
                <w:u w:val="single"/>
              </w:rPr>
              <w:t>甲方名称、联系人、联系方式</w:t>
            </w:r>
          </w:p>
        </w:tc>
        <w:tc>
          <w:tcPr>
            <w:tcW w:w="4269" w:type="dxa"/>
            <w:noWrap/>
          </w:tcPr>
          <w:p w14:paraId="0FF7CE56">
            <w:pPr>
              <w:spacing w:line="360" w:lineRule="auto"/>
              <w:jc w:val="center"/>
              <w:rPr>
                <w:rFonts w:ascii="宋体" w:hAnsi="宋体" w:cs="宋体"/>
                <w:color w:val="auto"/>
                <w:kern w:val="1"/>
                <w:szCs w:val="21"/>
                <w:u w:val="single"/>
              </w:rPr>
            </w:pPr>
            <w:r>
              <w:rPr>
                <w:rFonts w:hint="eastAsia" w:ascii="宋体" w:hAnsi="宋体" w:cs="宋体"/>
                <w:color w:val="auto"/>
                <w:kern w:val="1"/>
                <w:szCs w:val="21"/>
                <w:u w:val="single"/>
              </w:rPr>
              <w:t>项   目   名   称</w:t>
            </w:r>
          </w:p>
        </w:tc>
      </w:tr>
      <w:tr w14:paraId="1C9500C0">
        <w:tblPrEx>
          <w:tblCellMar>
            <w:top w:w="0" w:type="dxa"/>
            <w:left w:w="108" w:type="dxa"/>
            <w:bottom w:w="0" w:type="dxa"/>
            <w:right w:w="108" w:type="dxa"/>
          </w:tblCellMar>
        </w:tblPrEx>
        <w:trPr>
          <w:trHeight w:val="310" w:hRule="atLeast"/>
          <w:jc w:val="center"/>
        </w:trPr>
        <w:tc>
          <w:tcPr>
            <w:tcW w:w="4290" w:type="dxa"/>
            <w:noWrap/>
          </w:tcPr>
          <w:p w14:paraId="61A9EF19">
            <w:pPr>
              <w:spacing w:line="360" w:lineRule="auto"/>
              <w:rPr>
                <w:rFonts w:ascii="宋体" w:hAnsi="宋体" w:cs="宋体"/>
                <w:color w:val="auto"/>
                <w:kern w:val="1"/>
                <w:szCs w:val="21"/>
              </w:rPr>
            </w:pPr>
          </w:p>
        </w:tc>
        <w:tc>
          <w:tcPr>
            <w:tcW w:w="4269" w:type="dxa"/>
            <w:noWrap/>
          </w:tcPr>
          <w:p w14:paraId="5E385300">
            <w:pPr>
              <w:spacing w:line="360" w:lineRule="auto"/>
              <w:rPr>
                <w:rFonts w:ascii="宋体" w:hAnsi="宋体" w:cs="宋体"/>
                <w:color w:val="auto"/>
                <w:kern w:val="1"/>
                <w:szCs w:val="21"/>
              </w:rPr>
            </w:pPr>
          </w:p>
        </w:tc>
      </w:tr>
      <w:tr w14:paraId="1F02C963">
        <w:tblPrEx>
          <w:tblCellMar>
            <w:top w:w="0" w:type="dxa"/>
            <w:left w:w="108" w:type="dxa"/>
            <w:bottom w:w="0" w:type="dxa"/>
            <w:right w:w="108" w:type="dxa"/>
          </w:tblCellMar>
        </w:tblPrEx>
        <w:trPr>
          <w:trHeight w:val="310" w:hRule="atLeast"/>
          <w:jc w:val="center"/>
        </w:trPr>
        <w:tc>
          <w:tcPr>
            <w:tcW w:w="4290" w:type="dxa"/>
            <w:noWrap/>
          </w:tcPr>
          <w:p w14:paraId="77C3F330">
            <w:pPr>
              <w:spacing w:line="360" w:lineRule="auto"/>
              <w:rPr>
                <w:rFonts w:ascii="宋体" w:hAnsi="宋体" w:cs="宋体"/>
                <w:color w:val="auto"/>
                <w:kern w:val="1"/>
                <w:szCs w:val="21"/>
              </w:rPr>
            </w:pPr>
          </w:p>
        </w:tc>
        <w:tc>
          <w:tcPr>
            <w:tcW w:w="4269" w:type="dxa"/>
            <w:noWrap/>
          </w:tcPr>
          <w:p w14:paraId="7EBDAEDC">
            <w:pPr>
              <w:spacing w:line="360" w:lineRule="auto"/>
              <w:rPr>
                <w:rFonts w:ascii="宋体" w:hAnsi="宋体" w:cs="宋体"/>
                <w:color w:val="auto"/>
                <w:kern w:val="1"/>
                <w:szCs w:val="21"/>
              </w:rPr>
            </w:pPr>
          </w:p>
        </w:tc>
      </w:tr>
    </w:tbl>
    <w:p w14:paraId="06FA4657">
      <w:pPr>
        <w:spacing w:line="360" w:lineRule="auto"/>
        <w:rPr>
          <w:rFonts w:ascii="宋体" w:hAnsi="宋体" w:cs="宋体"/>
          <w:color w:val="auto"/>
          <w:szCs w:val="21"/>
        </w:rPr>
      </w:pPr>
      <w:r>
        <w:rPr>
          <w:rFonts w:hint="eastAsia" w:ascii="宋体" w:hAnsi="宋体" w:cs="宋体"/>
          <w:color w:val="auto"/>
          <w:szCs w:val="21"/>
          <w:lang w:eastAsia="zh-CN"/>
        </w:rPr>
        <w:t>3.</w:t>
      </w:r>
      <w:r>
        <w:rPr>
          <w:rFonts w:hint="eastAsia" w:ascii="宋体" w:hAnsi="宋体" w:cs="宋体"/>
          <w:color w:val="auto"/>
          <w:szCs w:val="21"/>
        </w:rPr>
        <w:t xml:space="preserve">近三年的营业额： </w:t>
      </w:r>
    </w:p>
    <w:tbl>
      <w:tblPr>
        <w:tblStyle w:val="30"/>
        <w:tblW w:w="0" w:type="auto"/>
        <w:jc w:val="center"/>
        <w:tblLayout w:type="fixed"/>
        <w:tblCellMar>
          <w:top w:w="0" w:type="dxa"/>
          <w:left w:w="108" w:type="dxa"/>
          <w:bottom w:w="0" w:type="dxa"/>
          <w:right w:w="108" w:type="dxa"/>
        </w:tblCellMar>
      </w:tblPr>
      <w:tblGrid>
        <w:gridCol w:w="2319"/>
        <w:gridCol w:w="2320"/>
        <w:gridCol w:w="2319"/>
        <w:gridCol w:w="2320"/>
      </w:tblGrid>
      <w:tr w14:paraId="3E57D4DB">
        <w:tblPrEx>
          <w:tblCellMar>
            <w:top w:w="0" w:type="dxa"/>
            <w:left w:w="108" w:type="dxa"/>
            <w:bottom w:w="0" w:type="dxa"/>
            <w:right w:w="108" w:type="dxa"/>
          </w:tblCellMar>
        </w:tblPrEx>
        <w:trPr>
          <w:trHeight w:val="371" w:hRule="atLeast"/>
          <w:jc w:val="center"/>
        </w:trPr>
        <w:tc>
          <w:tcPr>
            <w:tcW w:w="2319" w:type="dxa"/>
            <w:noWrap/>
          </w:tcPr>
          <w:p w14:paraId="756E37A6">
            <w:pPr>
              <w:spacing w:line="360" w:lineRule="auto"/>
              <w:jc w:val="center"/>
              <w:rPr>
                <w:rFonts w:ascii="宋体" w:hAnsi="宋体" w:cs="宋体"/>
                <w:color w:val="auto"/>
                <w:szCs w:val="21"/>
              </w:rPr>
            </w:pPr>
            <w:r>
              <w:rPr>
                <w:rFonts w:hint="eastAsia" w:ascii="宋体" w:hAnsi="宋体" w:cs="宋体"/>
                <w:color w:val="auto"/>
                <w:szCs w:val="21"/>
              </w:rPr>
              <w:t>年    份</w:t>
            </w:r>
          </w:p>
        </w:tc>
        <w:tc>
          <w:tcPr>
            <w:tcW w:w="2320" w:type="dxa"/>
            <w:noWrap/>
          </w:tcPr>
          <w:p w14:paraId="591513F2">
            <w:pPr>
              <w:spacing w:line="360" w:lineRule="auto"/>
              <w:jc w:val="center"/>
              <w:rPr>
                <w:rFonts w:ascii="宋体" w:hAnsi="宋体" w:cs="宋体"/>
                <w:color w:val="auto"/>
                <w:szCs w:val="21"/>
              </w:rPr>
            </w:pPr>
            <w:r>
              <w:rPr>
                <w:rFonts w:hint="eastAsia" w:ascii="宋体" w:hAnsi="宋体" w:cs="宋体"/>
                <w:color w:val="auto"/>
                <w:szCs w:val="21"/>
              </w:rPr>
              <w:t>国    内（万元）</w:t>
            </w:r>
          </w:p>
        </w:tc>
        <w:tc>
          <w:tcPr>
            <w:tcW w:w="2319" w:type="dxa"/>
            <w:noWrap/>
          </w:tcPr>
          <w:p w14:paraId="0FD473B5">
            <w:pPr>
              <w:spacing w:line="360" w:lineRule="auto"/>
              <w:jc w:val="center"/>
              <w:rPr>
                <w:rFonts w:ascii="宋体" w:hAnsi="宋体" w:cs="宋体"/>
                <w:color w:val="auto"/>
                <w:szCs w:val="21"/>
              </w:rPr>
            </w:pPr>
            <w:r>
              <w:rPr>
                <w:rFonts w:hint="eastAsia" w:ascii="宋体" w:hAnsi="宋体" w:cs="宋体"/>
                <w:color w:val="auto"/>
                <w:szCs w:val="21"/>
              </w:rPr>
              <w:t>出    口（万元）</w:t>
            </w:r>
          </w:p>
        </w:tc>
        <w:tc>
          <w:tcPr>
            <w:tcW w:w="2320" w:type="dxa"/>
            <w:noWrap/>
          </w:tcPr>
          <w:p w14:paraId="2EB22615">
            <w:pPr>
              <w:spacing w:line="360" w:lineRule="auto"/>
              <w:jc w:val="center"/>
              <w:rPr>
                <w:rFonts w:ascii="宋体" w:hAnsi="宋体" w:cs="宋体"/>
                <w:color w:val="auto"/>
                <w:szCs w:val="21"/>
              </w:rPr>
            </w:pPr>
            <w:r>
              <w:rPr>
                <w:rFonts w:hint="eastAsia" w:ascii="宋体" w:hAnsi="宋体" w:cs="宋体"/>
                <w:color w:val="auto"/>
                <w:szCs w:val="21"/>
              </w:rPr>
              <w:t>总    额（万元）</w:t>
            </w:r>
          </w:p>
        </w:tc>
      </w:tr>
      <w:tr w14:paraId="726325FE">
        <w:tblPrEx>
          <w:tblCellMar>
            <w:top w:w="0" w:type="dxa"/>
            <w:left w:w="108" w:type="dxa"/>
            <w:bottom w:w="0" w:type="dxa"/>
            <w:right w:w="108" w:type="dxa"/>
          </w:tblCellMar>
        </w:tblPrEx>
        <w:trPr>
          <w:trHeight w:val="371" w:hRule="atLeast"/>
          <w:jc w:val="center"/>
        </w:trPr>
        <w:tc>
          <w:tcPr>
            <w:tcW w:w="2319" w:type="dxa"/>
            <w:noWrap/>
          </w:tcPr>
          <w:p w14:paraId="53CFAA61">
            <w:pPr>
              <w:spacing w:line="360" w:lineRule="auto"/>
              <w:jc w:val="center"/>
              <w:rPr>
                <w:rFonts w:ascii="宋体" w:hAnsi="宋体" w:cs="宋体"/>
                <w:color w:val="auto"/>
                <w:szCs w:val="21"/>
              </w:rPr>
            </w:pPr>
            <w:r>
              <w:rPr>
                <w:rFonts w:hint="eastAsia" w:ascii="宋体" w:hAnsi="宋体" w:cs="宋体"/>
                <w:color w:val="auto"/>
                <w:szCs w:val="21"/>
              </w:rPr>
              <w:t xml:space="preserve">    年</w:t>
            </w:r>
          </w:p>
        </w:tc>
        <w:tc>
          <w:tcPr>
            <w:tcW w:w="2320" w:type="dxa"/>
            <w:noWrap/>
          </w:tcPr>
          <w:p w14:paraId="4E5D2BB0">
            <w:pPr>
              <w:spacing w:line="360" w:lineRule="auto"/>
              <w:rPr>
                <w:rFonts w:ascii="宋体" w:hAnsi="宋体" w:cs="宋体"/>
                <w:color w:val="auto"/>
                <w:szCs w:val="21"/>
              </w:rPr>
            </w:pPr>
          </w:p>
        </w:tc>
        <w:tc>
          <w:tcPr>
            <w:tcW w:w="2319" w:type="dxa"/>
            <w:noWrap/>
          </w:tcPr>
          <w:p w14:paraId="5E806780">
            <w:pPr>
              <w:spacing w:line="360" w:lineRule="auto"/>
              <w:rPr>
                <w:rFonts w:ascii="宋体" w:hAnsi="宋体" w:cs="宋体"/>
                <w:color w:val="auto"/>
                <w:szCs w:val="21"/>
              </w:rPr>
            </w:pPr>
          </w:p>
        </w:tc>
        <w:tc>
          <w:tcPr>
            <w:tcW w:w="2320" w:type="dxa"/>
            <w:noWrap/>
          </w:tcPr>
          <w:p w14:paraId="0E94455A">
            <w:pPr>
              <w:spacing w:line="360" w:lineRule="auto"/>
              <w:rPr>
                <w:rFonts w:ascii="宋体" w:hAnsi="宋体" w:cs="宋体"/>
                <w:color w:val="auto"/>
                <w:szCs w:val="21"/>
              </w:rPr>
            </w:pPr>
          </w:p>
        </w:tc>
      </w:tr>
      <w:tr w14:paraId="538AB15D">
        <w:tblPrEx>
          <w:tblCellMar>
            <w:top w:w="0" w:type="dxa"/>
            <w:left w:w="108" w:type="dxa"/>
            <w:bottom w:w="0" w:type="dxa"/>
            <w:right w:w="108" w:type="dxa"/>
          </w:tblCellMar>
        </w:tblPrEx>
        <w:trPr>
          <w:trHeight w:val="371" w:hRule="atLeast"/>
          <w:jc w:val="center"/>
        </w:trPr>
        <w:tc>
          <w:tcPr>
            <w:tcW w:w="2319" w:type="dxa"/>
            <w:noWrap/>
          </w:tcPr>
          <w:p w14:paraId="0B2D96F2">
            <w:pPr>
              <w:spacing w:line="360" w:lineRule="auto"/>
              <w:jc w:val="center"/>
              <w:rPr>
                <w:rFonts w:ascii="宋体" w:hAnsi="宋体" w:cs="宋体"/>
                <w:color w:val="auto"/>
                <w:szCs w:val="21"/>
              </w:rPr>
            </w:pPr>
            <w:r>
              <w:rPr>
                <w:rFonts w:hint="eastAsia" w:ascii="宋体" w:hAnsi="宋体" w:cs="宋体"/>
                <w:color w:val="auto"/>
                <w:szCs w:val="21"/>
              </w:rPr>
              <w:t xml:space="preserve">    年</w:t>
            </w:r>
          </w:p>
        </w:tc>
        <w:tc>
          <w:tcPr>
            <w:tcW w:w="2320" w:type="dxa"/>
            <w:noWrap/>
          </w:tcPr>
          <w:p w14:paraId="0B8B753B">
            <w:pPr>
              <w:spacing w:line="360" w:lineRule="auto"/>
              <w:rPr>
                <w:rFonts w:ascii="宋体" w:hAnsi="宋体" w:cs="宋体"/>
                <w:color w:val="auto"/>
                <w:szCs w:val="21"/>
              </w:rPr>
            </w:pPr>
          </w:p>
        </w:tc>
        <w:tc>
          <w:tcPr>
            <w:tcW w:w="2319" w:type="dxa"/>
            <w:noWrap/>
          </w:tcPr>
          <w:p w14:paraId="380C973B">
            <w:pPr>
              <w:spacing w:line="360" w:lineRule="auto"/>
              <w:rPr>
                <w:rFonts w:ascii="宋体" w:hAnsi="宋体" w:cs="宋体"/>
                <w:color w:val="auto"/>
                <w:szCs w:val="21"/>
              </w:rPr>
            </w:pPr>
          </w:p>
        </w:tc>
        <w:tc>
          <w:tcPr>
            <w:tcW w:w="2320" w:type="dxa"/>
            <w:noWrap/>
          </w:tcPr>
          <w:p w14:paraId="3958E054">
            <w:pPr>
              <w:spacing w:line="360" w:lineRule="auto"/>
              <w:rPr>
                <w:rFonts w:ascii="宋体" w:hAnsi="宋体" w:cs="宋体"/>
                <w:color w:val="auto"/>
                <w:szCs w:val="21"/>
              </w:rPr>
            </w:pPr>
          </w:p>
        </w:tc>
      </w:tr>
      <w:tr w14:paraId="4E3CBB98">
        <w:tblPrEx>
          <w:tblCellMar>
            <w:top w:w="0" w:type="dxa"/>
            <w:left w:w="108" w:type="dxa"/>
            <w:bottom w:w="0" w:type="dxa"/>
            <w:right w:w="108" w:type="dxa"/>
          </w:tblCellMar>
        </w:tblPrEx>
        <w:trPr>
          <w:trHeight w:val="371" w:hRule="atLeast"/>
          <w:jc w:val="center"/>
        </w:trPr>
        <w:tc>
          <w:tcPr>
            <w:tcW w:w="2319" w:type="dxa"/>
            <w:noWrap/>
          </w:tcPr>
          <w:p w14:paraId="282D5264">
            <w:pPr>
              <w:spacing w:line="360" w:lineRule="auto"/>
              <w:jc w:val="center"/>
              <w:rPr>
                <w:rFonts w:ascii="宋体" w:hAnsi="宋体" w:cs="宋体"/>
                <w:color w:val="auto"/>
                <w:szCs w:val="21"/>
              </w:rPr>
            </w:pPr>
            <w:r>
              <w:rPr>
                <w:rFonts w:hint="eastAsia" w:ascii="宋体" w:hAnsi="宋体" w:cs="宋体"/>
                <w:color w:val="auto"/>
                <w:szCs w:val="21"/>
              </w:rPr>
              <w:t xml:space="preserve">    年</w:t>
            </w:r>
          </w:p>
        </w:tc>
        <w:tc>
          <w:tcPr>
            <w:tcW w:w="2320" w:type="dxa"/>
            <w:noWrap/>
          </w:tcPr>
          <w:p w14:paraId="2A61B080">
            <w:pPr>
              <w:spacing w:line="360" w:lineRule="auto"/>
              <w:rPr>
                <w:rFonts w:ascii="宋体" w:hAnsi="宋体" w:cs="宋体"/>
                <w:color w:val="auto"/>
                <w:szCs w:val="21"/>
              </w:rPr>
            </w:pPr>
          </w:p>
        </w:tc>
        <w:tc>
          <w:tcPr>
            <w:tcW w:w="2319" w:type="dxa"/>
            <w:noWrap/>
          </w:tcPr>
          <w:p w14:paraId="40C6E522">
            <w:pPr>
              <w:spacing w:line="360" w:lineRule="auto"/>
              <w:rPr>
                <w:rFonts w:ascii="宋体" w:hAnsi="宋体" w:cs="宋体"/>
                <w:color w:val="auto"/>
                <w:szCs w:val="21"/>
              </w:rPr>
            </w:pPr>
          </w:p>
        </w:tc>
        <w:tc>
          <w:tcPr>
            <w:tcW w:w="2320" w:type="dxa"/>
            <w:noWrap/>
          </w:tcPr>
          <w:p w14:paraId="52F8E689">
            <w:pPr>
              <w:spacing w:line="360" w:lineRule="auto"/>
              <w:rPr>
                <w:rFonts w:ascii="宋体" w:hAnsi="宋体" w:cs="宋体"/>
                <w:color w:val="auto"/>
                <w:szCs w:val="21"/>
              </w:rPr>
            </w:pPr>
          </w:p>
        </w:tc>
      </w:tr>
    </w:tbl>
    <w:p w14:paraId="25C1D1C3">
      <w:pPr>
        <w:spacing w:line="360" w:lineRule="auto"/>
        <w:rPr>
          <w:rFonts w:ascii="宋体" w:hAnsi="宋体" w:cs="宋体"/>
          <w:color w:val="auto"/>
          <w:szCs w:val="21"/>
        </w:rPr>
      </w:pPr>
      <w:r>
        <w:rPr>
          <w:rFonts w:hint="eastAsia" w:ascii="宋体" w:hAnsi="宋体" w:cs="宋体"/>
          <w:color w:val="auto"/>
          <w:szCs w:val="21"/>
          <w:lang w:eastAsia="zh-CN"/>
        </w:rPr>
        <w:t>4.</w:t>
      </w:r>
      <w:r>
        <w:rPr>
          <w:rFonts w:hint="eastAsia" w:ascii="宋体" w:hAnsi="宋体" w:cs="宋体"/>
          <w:color w:val="auto"/>
          <w:szCs w:val="21"/>
        </w:rPr>
        <w:t>本次采购要求的其他资格文件以及供应商认为需要声明的其他情况：</w:t>
      </w:r>
    </w:p>
    <w:p w14:paraId="56DFD6B7">
      <w:pPr>
        <w:spacing w:line="360" w:lineRule="auto"/>
        <w:rPr>
          <w:rFonts w:ascii="宋体" w:hAnsi="宋体" w:cs="宋体"/>
          <w:color w:val="auto"/>
          <w:szCs w:val="21"/>
        </w:rPr>
      </w:pPr>
      <w:r>
        <w:rPr>
          <w:rFonts w:hint="eastAsia" w:ascii="宋体" w:hAnsi="宋体" w:cs="宋体"/>
          <w:color w:val="auto"/>
          <w:szCs w:val="21"/>
        </w:rPr>
        <w:t>兹证明上述声明是真实的、正确的，并提供了全部能提供的资料和数据，我们同意遵照贵方要求出示有关证明文件，如有虚假，自愿丧失中标资格，一年内退出扬州采购市场。</w:t>
      </w:r>
    </w:p>
    <w:p w14:paraId="3386C3E0">
      <w:pPr>
        <w:spacing w:line="360" w:lineRule="auto"/>
        <w:rPr>
          <w:rFonts w:ascii="宋体" w:hAnsi="宋体" w:cs="宋体"/>
          <w:color w:val="auto"/>
          <w:szCs w:val="21"/>
        </w:rPr>
      </w:pPr>
      <w:r>
        <w:rPr>
          <w:rFonts w:hint="eastAsia" w:ascii="宋体" w:hAnsi="宋体" w:cs="宋体"/>
          <w:color w:val="auto"/>
          <w:szCs w:val="21"/>
        </w:rPr>
        <w:t xml:space="preserve">法定代表人或者授权代表（签字或盖章）：                    </w:t>
      </w:r>
    </w:p>
    <w:p w14:paraId="2ABA0125">
      <w:pPr>
        <w:spacing w:line="360" w:lineRule="auto"/>
        <w:rPr>
          <w:rFonts w:ascii="宋体" w:hAnsi="宋体" w:cs="宋体"/>
          <w:color w:val="auto"/>
          <w:szCs w:val="21"/>
          <w:u w:val="single"/>
        </w:rPr>
      </w:pPr>
      <w:r>
        <w:rPr>
          <w:rFonts w:hint="eastAsia" w:ascii="宋体" w:hAnsi="宋体" w:cs="宋体"/>
          <w:color w:val="auto"/>
          <w:szCs w:val="21"/>
        </w:rPr>
        <w:t>磋商供应商全称（盖章）：</w:t>
      </w:r>
    </w:p>
    <w:p w14:paraId="5085E84F">
      <w:pPr>
        <w:spacing w:line="360" w:lineRule="auto"/>
        <w:rPr>
          <w:rFonts w:ascii="宋体" w:hAnsi="宋体" w:cs="宋体"/>
          <w:color w:val="auto"/>
          <w:szCs w:val="21"/>
        </w:rPr>
      </w:pPr>
      <w:r>
        <w:rPr>
          <w:rFonts w:hint="eastAsia" w:ascii="宋体" w:hAnsi="宋体" w:cs="宋体"/>
          <w:color w:val="auto"/>
          <w:szCs w:val="21"/>
        </w:rPr>
        <w:t>日期：    年   月    日</w:t>
      </w:r>
    </w:p>
    <w:p w14:paraId="5AC59750">
      <w:pPr>
        <w:spacing w:line="360" w:lineRule="auto"/>
        <w:rPr>
          <w:rFonts w:ascii="宋体" w:hAnsi="宋体" w:cs="宋体"/>
          <w:color w:val="auto"/>
          <w:kern w:val="1"/>
          <w:szCs w:val="21"/>
        </w:rPr>
      </w:pPr>
      <w:r>
        <w:rPr>
          <w:rFonts w:hint="eastAsia" w:ascii="宋体" w:hAnsi="宋体" w:cs="宋体"/>
          <w:b/>
          <w:bCs/>
          <w:color w:val="auto"/>
          <w:szCs w:val="21"/>
        </w:rPr>
        <w:t>（注：资格声明为格式文件，实质性内容请勿修改，否则将导致响应文件无效）</w:t>
      </w:r>
    </w:p>
    <w:p w14:paraId="3D562C18">
      <w:pPr>
        <w:spacing w:line="360" w:lineRule="auto"/>
        <w:jc w:val="center"/>
        <w:rPr>
          <w:rFonts w:ascii="宋体" w:hAnsi="宋体" w:cs="宋体"/>
          <w:b/>
          <w:color w:val="auto"/>
          <w:sz w:val="28"/>
          <w:szCs w:val="28"/>
        </w:rPr>
      </w:pPr>
      <w:r>
        <w:rPr>
          <w:rFonts w:hint="eastAsia" w:ascii="宋体" w:hAnsi="宋体" w:cs="宋体"/>
          <w:b/>
          <w:color w:val="auto"/>
          <w:sz w:val="24"/>
        </w:rPr>
        <w:t>五、磋商响应报价表</w:t>
      </w:r>
    </w:p>
    <w:p w14:paraId="345B7CA4">
      <w:pPr>
        <w:pStyle w:val="16"/>
        <w:spacing w:line="360" w:lineRule="auto"/>
        <w:rPr>
          <w:rFonts w:ascii="宋体" w:hAnsi="宋体" w:cs="宋体"/>
          <w:color w:val="auto"/>
          <w:sz w:val="21"/>
          <w:szCs w:val="21"/>
        </w:rPr>
      </w:pPr>
      <w:r>
        <w:rPr>
          <w:rFonts w:hint="eastAsia" w:ascii="宋体" w:hAnsi="宋体" w:cs="宋体"/>
          <w:color w:val="auto"/>
          <w:sz w:val="21"/>
          <w:szCs w:val="21"/>
        </w:rPr>
        <w:t>项目名称：</w:t>
      </w:r>
    </w:p>
    <w:p w14:paraId="38F0D7EC">
      <w:pPr>
        <w:spacing w:line="360" w:lineRule="auto"/>
        <w:rPr>
          <w:rFonts w:ascii="宋体" w:hAnsi="宋体" w:cs="宋体"/>
          <w:color w:val="auto"/>
          <w:szCs w:val="21"/>
        </w:rPr>
      </w:pPr>
      <w:r>
        <w:rPr>
          <w:rFonts w:hint="eastAsia" w:ascii="宋体" w:hAnsi="宋体" w:cs="宋体"/>
          <w:color w:val="auto"/>
          <w:szCs w:val="21"/>
        </w:rPr>
        <w:t>项目编号：</w:t>
      </w:r>
    </w:p>
    <w:p w14:paraId="2635C82E">
      <w:pPr>
        <w:pStyle w:val="49"/>
        <w:spacing w:line="360" w:lineRule="auto"/>
        <w:ind w:firstLine="0" w:firstLineChars="0"/>
        <w:rPr>
          <w:rFonts w:ascii="宋体" w:hAnsi="宋体" w:cs="宋体"/>
          <w:b/>
          <w:bCs/>
          <w:color w:val="auto"/>
        </w:rPr>
      </w:pPr>
      <w:r>
        <w:rPr>
          <w:rFonts w:hint="eastAsia" w:ascii="宋体" w:hAnsi="宋体" w:cs="宋体"/>
          <w:b/>
          <w:bCs/>
          <w:color w:val="auto"/>
        </w:rPr>
        <w:t>本次为首次报价</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5"/>
        <w:gridCol w:w="4681"/>
      </w:tblGrid>
      <w:tr w14:paraId="28CB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2649" w:type="pct"/>
            <w:tcBorders>
              <w:top w:val="single" w:color="auto" w:sz="4" w:space="0"/>
              <w:left w:val="single" w:color="auto" w:sz="4" w:space="0"/>
              <w:bottom w:val="single" w:color="auto" w:sz="4" w:space="0"/>
              <w:right w:val="single" w:color="auto" w:sz="4" w:space="0"/>
            </w:tcBorders>
            <w:noWrap/>
            <w:vAlign w:val="center"/>
          </w:tcPr>
          <w:p w14:paraId="6888D0C1">
            <w:pPr>
              <w:pStyle w:val="10"/>
              <w:adjustRightInd w:val="0"/>
              <w:snapToGrid w:val="0"/>
              <w:spacing w:line="360" w:lineRule="auto"/>
              <w:jc w:val="center"/>
              <w:rPr>
                <w:rFonts w:ascii="宋体" w:hAnsi="宋体" w:eastAsia="宋体" w:cs="宋体"/>
                <w:color w:val="auto"/>
                <w:sz w:val="21"/>
                <w:szCs w:val="21"/>
              </w:rPr>
            </w:pPr>
            <w:r>
              <w:rPr>
                <w:rFonts w:hint="eastAsia" w:ascii="宋体" w:hAnsi="宋体" w:eastAsia="宋体" w:cs="宋体"/>
                <w:color w:val="auto"/>
                <w:sz w:val="21"/>
                <w:szCs w:val="21"/>
              </w:rPr>
              <w:t>项目名称</w:t>
            </w:r>
          </w:p>
        </w:tc>
        <w:tc>
          <w:tcPr>
            <w:tcW w:w="2350" w:type="pct"/>
            <w:tcBorders>
              <w:top w:val="single" w:color="auto" w:sz="4" w:space="0"/>
              <w:left w:val="single" w:color="auto" w:sz="4" w:space="0"/>
              <w:bottom w:val="single" w:color="auto" w:sz="4" w:space="0"/>
              <w:right w:val="single" w:color="auto" w:sz="4" w:space="0"/>
            </w:tcBorders>
            <w:noWrap/>
            <w:vAlign w:val="center"/>
          </w:tcPr>
          <w:p w14:paraId="19B999D0">
            <w:pPr>
              <w:adjustRightInd w:val="0"/>
              <w:snapToGrid w:val="0"/>
              <w:spacing w:line="360" w:lineRule="auto"/>
              <w:jc w:val="center"/>
              <w:rPr>
                <w:rFonts w:ascii="宋体" w:hAnsi="宋体" w:cs="宋体"/>
                <w:color w:val="auto"/>
                <w:szCs w:val="21"/>
              </w:rPr>
            </w:pPr>
            <w:r>
              <w:rPr>
                <w:rFonts w:hint="eastAsia" w:ascii="宋体" w:hAnsi="宋体" w:cs="宋体"/>
                <w:color w:val="auto"/>
                <w:szCs w:val="21"/>
              </w:rPr>
              <w:t>第一轮报价（元）</w:t>
            </w:r>
          </w:p>
        </w:tc>
      </w:tr>
      <w:tr w14:paraId="5EAB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jc w:val="center"/>
        </w:trPr>
        <w:tc>
          <w:tcPr>
            <w:tcW w:w="2649" w:type="pct"/>
            <w:tcBorders>
              <w:top w:val="single" w:color="auto" w:sz="4" w:space="0"/>
              <w:left w:val="single" w:color="auto" w:sz="4" w:space="0"/>
              <w:bottom w:val="single" w:color="auto" w:sz="4" w:space="0"/>
              <w:right w:val="single" w:color="auto" w:sz="4" w:space="0"/>
            </w:tcBorders>
            <w:noWrap/>
            <w:vAlign w:val="center"/>
          </w:tcPr>
          <w:p w14:paraId="3DC125CF">
            <w:pPr>
              <w:spacing w:line="360" w:lineRule="auto"/>
              <w:jc w:val="center"/>
              <w:rPr>
                <w:rFonts w:ascii="宋体" w:hAnsi="宋体" w:cs="宋体"/>
                <w:color w:val="auto"/>
                <w:szCs w:val="21"/>
              </w:rPr>
            </w:pPr>
            <w:r>
              <w:rPr>
                <w:rFonts w:hint="eastAsia" w:ascii="宋体" w:hAnsi="宋体" w:cs="宋体"/>
                <w:color w:val="auto"/>
                <w:szCs w:val="21"/>
              </w:rPr>
              <w:t>扬州大学附属医院住院入口（服务大厅）扩建项目、门诊楼扩建项目、既有建筑改造项目、病房改造提升项目建议书及可行性研究报告编制项目</w:t>
            </w:r>
          </w:p>
        </w:tc>
        <w:tc>
          <w:tcPr>
            <w:tcW w:w="2350" w:type="pct"/>
            <w:tcBorders>
              <w:top w:val="single" w:color="auto" w:sz="4" w:space="0"/>
              <w:left w:val="single" w:color="auto" w:sz="4" w:space="0"/>
              <w:bottom w:val="single" w:color="auto" w:sz="4" w:space="0"/>
              <w:right w:val="single" w:color="auto" w:sz="4" w:space="0"/>
            </w:tcBorders>
            <w:noWrap/>
            <w:vAlign w:val="center"/>
          </w:tcPr>
          <w:p w14:paraId="2A0B615B">
            <w:pPr>
              <w:rPr>
                <w:rFonts w:ascii="宋体" w:hAnsi="宋体"/>
                <w:color w:val="auto"/>
                <w:szCs w:val="21"/>
              </w:rPr>
            </w:pPr>
            <w:r>
              <w:rPr>
                <w:rFonts w:hint="eastAsia" w:ascii="宋体" w:hAnsi="宋体"/>
                <w:color w:val="auto"/>
                <w:szCs w:val="21"/>
              </w:rPr>
              <w:t>大写： （人民币）</w:t>
            </w:r>
          </w:p>
          <w:p w14:paraId="1C4E79DE">
            <w:pPr>
              <w:rPr>
                <w:rFonts w:ascii="宋体" w:hAnsi="宋体"/>
                <w:color w:val="auto"/>
                <w:szCs w:val="21"/>
              </w:rPr>
            </w:pPr>
          </w:p>
          <w:p w14:paraId="55709B6B">
            <w:pPr>
              <w:rPr>
                <w:rFonts w:ascii="宋体" w:hAnsi="宋体"/>
                <w:color w:val="auto"/>
                <w:szCs w:val="21"/>
              </w:rPr>
            </w:pPr>
            <w:r>
              <w:rPr>
                <w:rFonts w:hint="eastAsia" w:ascii="宋体" w:hAnsi="宋体"/>
                <w:color w:val="auto"/>
                <w:szCs w:val="21"/>
              </w:rPr>
              <w:t xml:space="preserve">小写：                          </w:t>
            </w:r>
          </w:p>
          <w:p w14:paraId="2321411A">
            <w:pPr>
              <w:pStyle w:val="49"/>
              <w:ind w:firstLine="0" w:firstLineChars="0"/>
              <w:rPr>
                <w:color w:val="auto"/>
                <w:szCs w:val="21"/>
              </w:rPr>
            </w:pPr>
          </w:p>
          <w:p w14:paraId="1FA4A557">
            <w:pPr>
              <w:pStyle w:val="10"/>
              <w:adjustRightInd w:val="0"/>
              <w:snapToGrid w:val="0"/>
              <w:spacing w:line="360" w:lineRule="auto"/>
              <w:rPr>
                <w:rFonts w:ascii="宋体" w:hAnsi="宋体" w:eastAsia="宋体" w:cs="宋体"/>
                <w:color w:val="auto"/>
                <w:sz w:val="21"/>
                <w:szCs w:val="21"/>
              </w:rPr>
            </w:pPr>
          </w:p>
        </w:tc>
      </w:tr>
      <w:tr w14:paraId="2996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2649" w:type="pct"/>
            <w:tcBorders>
              <w:top w:val="single" w:color="auto" w:sz="4" w:space="0"/>
              <w:left w:val="single" w:color="auto" w:sz="4" w:space="0"/>
              <w:bottom w:val="single" w:color="auto" w:sz="4" w:space="0"/>
              <w:right w:val="single" w:color="auto" w:sz="4" w:space="0"/>
            </w:tcBorders>
            <w:noWrap/>
            <w:vAlign w:val="center"/>
          </w:tcPr>
          <w:p w14:paraId="261C9004">
            <w:pPr>
              <w:pStyle w:val="10"/>
              <w:adjustRightInd w:val="0"/>
              <w:snapToGrid w:val="0"/>
              <w:spacing w:line="360" w:lineRule="auto"/>
              <w:jc w:val="center"/>
              <w:rPr>
                <w:rFonts w:ascii="宋体" w:hAnsi="宋体" w:eastAsia="宋体" w:cs="宋体"/>
                <w:color w:val="auto"/>
                <w:sz w:val="21"/>
                <w:szCs w:val="21"/>
              </w:rPr>
            </w:pPr>
            <w:r>
              <w:rPr>
                <w:rFonts w:hint="eastAsia" w:ascii="宋体" w:hAnsi="宋体" w:eastAsia="宋体" w:cs="宋体"/>
                <w:color w:val="auto"/>
                <w:sz w:val="21"/>
                <w:szCs w:val="21"/>
              </w:rPr>
              <w:t>备注</w:t>
            </w:r>
          </w:p>
        </w:tc>
        <w:tc>
          <w:tcPr>
            <w:tcW w:w="2350" w:type="pct"/>
            <w:tcBorders>
              <w:top w:val="single" w:color="auto" w:sz="4" w:space="0"/>
              <w:left w:val="single" w:color="auto" w:sz="4" w:space="0"/>
              <w:bottom w:val="single" w:color="auto" w:sz="4" w:space="0"/>
              <w:right w:val="single" w:color="auto" w:sz="4" w:space="0"/>
            </w:tcBorders>
            <w:noWrap/>
            <w:vAlign w:val="center"/>
          </w:tcPr>
          <w:p w14:paraId="393B79C3">
            <w:pPr>
              <w:pStyle w:val="10"/>
              <w:adjustRightInd w:val="0"/>
              <w:snapToGrid w:val="0"/>
              <w:spacing w:line="360" w:lineRule="auto"/>
              <w:ind w:firstLine="1365" w:firstLineChars="650"/>
              <w:rPr>
                <w:rFonts w:ascii="宋体" w:hAnsi="宋体" w:eastAsia="宋体" w:cs="宋体"/>
                <w:color w:val="auto"/>
                <w:sz w:val="21"/>
                <w:szCs w:val="21"/>
              </w:rPr>
            </w:pPr>
          </w:p>
        </w:tc>
      </w:tr>
    </w:tbl>
    <w:p w14:paraId="56F94B32">
      <w:pPr>
        <w:spacing w:line="360" w:lineRule="auto"/>
        <w:rPr>
          <w:rFonts w:ascii="宋体" w:hAnsi="宋体" w:cs="宋体"/>
          <w:color w:val="auto"/>
          <w:szCs w:val="21"/>
        </w:rPr>
      </w:pPr>
    </w:p>
    <w:p w14:paraId="267FD18D">
      <w:pPr>
        <w:spacing w:line="360" w:lineRule="auto"/>
        <w:rPr>
          <w:rFonts w:ascii="宋体" w:hAnsi="宋体" w:cs="宋体"/>
          <w:color w:val="auto"/>
          <w:szCs w:val="21"/>
        </w:rPr>
      </w:pPr>
      <w:r>
        <w:rPr>
          <w:rFonts w:hint="eastAsia" w:ascii="宋体" w:hAnsi="宋体" w:cs="宋体"/>
          <w:color w:val="auto"/>
          <w:szCs w:val="21"/>
        </w:rPr>
        <w:t xml:space="preserve">法定代表人或者授权代表（签字或盖章）：                    </w:t>
      </w:r>
    </w:p>
    <w:p w14:paraId="24222940">
      <w:pPr>
        <w:spacing w:line="360" w:lineRule="auto"/>
        <w:rPr>
          <w:rFonts w:ascii="宋体" w:hAnsi="宋体" w:cs="宋体"/>
          <w:color w:val="auto"/>
          <w:szCs w:val="21"/>
          <w:u w:val="single"/>
        </w:rPr>
      </w:pPr>
      <w:r>
        <w:rPr>
          <w:rFonts w:hint="eastAsia" w:ascii="宋体" w:hAnsi="宋体" w:cs="宋体"/>
          <w:color w:val="auto"/>
          <w:szCs w:val="21"/>
        </w:rPr>
        <w:t>磋商供应商全称（盖章）：</w:t>
      </w:r>
    </w:p>
    <w:p w14:paraId="34DA14B1">
      <w:pPr>
        <w:spacing w:line="360" w:lineRule="auto"/>
        <w:rPr>
          <w:rFonts w:ascii="宋体" w:hAnsi="宋体" w:cs="宋体"/>
          <w:color w:val="auto"/>
          <w:szCs w:val="21"/>
        </w:rPr>
      </w:pPr>
      <w:r>
        <w:rPr>
          <w:rFonts w:hint="eastAsia" w:ascii="宋体" w:hAnsi="宋体" w:cs="宋体"/>
          <w:color w:val="auto"/>
          <w:szCs w:val="21"/>
        </w:rPr>
        <w:t>日期：    年   月    日</w:t>
      </w:r>
    </w:p>
    <w:p w14:paraId="75D6FDB2">
      <w:pPr>
        <w:spacing w:line="360" w:lineRule="auto"/>
        <w:jc w:val="left"/>
        <w:rPr>
          <w:rFonts w:ascii="宋体" w:hAnsi="宋体" w:cs="宋体"/>
          <w:iCs/>
          <w:color w:val="auto"/>
          <w:szCs w:val="21"/>
        </w:rPr>
      </w:pPr>
    </w:p>
    <w:p w14:paraId="2DDCC73B">
      <w:pPr>
        <w:spacing w:line="360" w:lineRule="auto"/>
        <w:jc w:val="left"/>
        <w:rPr>
          <w:rFonts w:ascii="宋体" w:hAnsi="宋体" w:cs="宋体"/>
          <w:iCs/>
          <w:color w:val="auto"/>
          <w:szCs w:val="21"/>
        </w:rPr>
      </w:pPr>
      <w:r>
        <w:rPr>
          <w:rFonts w:hint="eastAsia" w:ascii="宋体" w:hAnsi="宋体" w:cs="宋体"/>
          <w:iCs/>
          <w:color w:val="auto"/>
          <w:szCs w:val="21"/>
        </w:rPr>
        <w:t>备注：</w:t>
      </w:r>
    </w:p>
    <w:p w14:paraId="4972D317">
      <w:pPr>
        <w:spacing w:line="360" w:lineRule="auto"/>
        <w:jc w:val="left"/>
        <w:rPr>
          <w:rFonts w:ascii="宋体" w:hAnsi="宋体" w:cs="宋体"/>
          <w:i/>
          <w:color w:val="auto"/>
          <w:szCs w:val="21"/>
          <w:u w:val="single"/>
        </w:rPr>
      </w:pPr>
      <w:r>
        <w:rPr>
          <w:rFonts w:hint="eastAsia" w:ascii="宋体" w:hAnsi="宋体" w:cs="宋体"/>
          <w:i/>
          <w:color w:val="auto"/>
          <w:szCs w:val="21"/>
          <w:u w:val="single"/>
        </w:rPr>
        <w:t>1.</w:t>
      </w:r>
      <w:r>
        <w:rPr>
          <w:rFonts w:hint="eastAsia" w:ascii="宋体" w:hAnsi="宋体" w:cs="宋体"/>
          <w:bCs/>
          <w:i/>
          <w:color w:val="auto"/>
          <w:szCs w:val="21"/>
          <w:u w:val="single"/>
        </w:rPr>
        <w:t>磋商响应报价表必须加盖供应商公章（复印件无效）</w:t>
      </w:r>
      <w:r>
        <w:rPr>
          <w:rFonts w:hint="eastAsia" w:ascii="宋体" w:hAnsi="宋体" w:cs="宋体"/>
          <w:i/>
          <w:color w:val="auto"/>
          <w:szCs w:val="21"/>
          <w:u w:val="single"/>
        </w:rPr>
        <w:t>。</w:t>
      </w:r>
    </w:p>
    <w:p w14:paraId="4F69585B">
      <w:pPr>
        <w:spacing w:line="360" w:lineRule="auto"/>
        <w:rPr>
          <w:rFonts w:ascii="宋体" w:hAnsi="宋体" w:cs="宋体"/>
          <w:iCs/>
          <w:color w:val="auto"/>
          <w:szCs w:val="21"/>
        </w:rPr>
      </w:pPr>
      <w:r>
        <w:rPr>
          <w:rFonts w:hint="eastAsia" w:ascii="宋体" w:hAnsi="宋体" w:cs="宋体"/>
          <w:iCs/>
          <w:color w:val="auto"/>
          <w:szCs w:val="21"/>
        </w:rPr>
        <w:t>2.此表可以根据需要自行增减行数，且该表报价非本次磋商中的最后报价。</w:t>
      </w:r>
    </w:p>
    <w:p w14:paraId="0E269DA4">
      <w:pPr>
        <w:spacing w:line="360" w:lineRule="auto"/>
        <w:rPr>
          <w:rFonts w:ascii="宋体" w:hAnsi="宋体" w:cs="宋体"/>
          <w:color w:val="auto"/>
          <w:szCs w:val="21"/>
        </w:rPr>
      </w:pPr>
    </w:p>
    <w:p w14:paraId="274B5DC1">
      <w:pPr>
        <w:spacing w:line="360" w:lineRule="auto"/>
        <w:rPr>
          <w:rFonts w:ascii="宋体" w:hAnsi="宋体" w:cs="宋体"/>
          <w:color w:val="auto"/>
          <w:szCs w:val="21"/>
        </w:rPr>
      </w:pPr>
    </w:p>
    <w:p w14:paraId="76B27E56">
      <w:pPr>
        <w:numPr>
          <w:ilvl w:val="0"/>
          <w:numId w:val="4"/>
        </w:numPr>
        <w:spacing w:line="360" w:lineRule="auto"/>
        <w:jc w:val="center"/>
        <w:rPr>
          <w:rFonts w:ascii="宋体" w:hAnsi="宋体" w:cs="宋体"/>
          <w:b/>
          <w:color w:val="auto"/>
          <w:sz w:val="24"/>
        </w:rPr>
      </w:pPr>
      <w:r>
        <w:rPr>
          <w:rFonts w:hint="eastAsia" w:ascii="宋体" w:hAnsi="宋体" w:cs="宋体"/>
          <w:b/>
          <w:bCs/>
          <w:color w:val="auto"/>
          <w:szCs w:val="21"/>
        </w:rPr>
        <w:br w:type="page"/>
      </w:r>
      <w:r>
        <w:rPr>
          <w:rFonts w:hint="eastAsia" w:ascii="宋体" w:hAnsi="宋体" w:cs="宋体"/>
          <w:b/>
          <w:color w:val="auto"/>
          <w:sz w:val="24"/>
        </w:rPr>
        <w:t>分项报价表</w:t>
      </w:r>
    </w:p>
    <w:p w14:paraId="2920ACF9">
      <w:pPr>
        <w:pStyle w:val="16"/>
        <w:spacing w:line="360" w:lineRule="auto"/>
        <w:rPr>
          <w:rFonts w:ascii="宋体" w:hAnsi="宋体" w:cs="宋体"/>
          <w:color w:val="auto"/>
          <w:sz w:val="21"/>
          <w:szCs w:val="21"/>
        </w:rPr>
      </w:pPr>
      <w:r>
        <w:rPr>
          <w:rFonts w:hint="eastAsia" w:ascii="宋体" w:hAnsi="宋体" w:cs="宋体"/>
          <w:color w:val="auto"/>
          <w:sz w:val="21"/>
          <w:szCs w:val="21"/>
        </w:rPr>
        <w:t>项目名称：</w:t>
      </w:r>
    </w:p>
    <w:p w14:paraId="3DEB776D">
      <w:pPr>
        <w:spacing w:line="360" w:lineRule="auto"/>
        <w:rPr>
          <w:rFonts w:ascii="宋体" w:hAnsi="宋体" w:cs="宋体"/>
          <w:color w:val="auto"/>
          <w:szCs w:val="21"/>
        </w:rPr>
      </w:pPr>
      <w:r>
        <w:rPr>
          <w:rFonts w:hint="eastAsia" w:ascii="宋体" w:hAnsi="宋体" w:cs="宋体"/>
          <w:color w:val="auto"/>
          <w:szCs w:val="21"/>
        </w:rPr>
        <w:t>项目编号：</w:t>
      </w:r>
    </w:p>
    <w:p w14:paraId="5714B927">
      <w:pPr>
        <w:pStyle w:val="49"/>
        <w:spacing w:line="360" w:lineRule="auto"/>
        <w:ind w:firstLine="0" w:firstLineChars="0"/>
        <w:rPr>
          <w:rFonts w:ascii="宋体" w:hAnsi="宋体" w:cs="宋体"/>
          <w:b/>
          <w:bCs/>
          <w:color w:val="auto"/>
        </w:rPr>
      </w:pPr>
      <w:r>
        <w:rPr>
          <w:rFonts w:hint="eastAsia" w:ascii="宋体" w:hAnsi="宋体" w:cs="宋体"/>
          <w:b/>
          <w:bCs/>
          <w:color w:val="auto"/>
        </w:rPr>
        <w:t>本次为首次报价</w:t>
      </w:r>
    </w:p>
    <w:tbl>
      <w:tblPr>
        <w:tblStyle w:val="31"/>
        <w:tblW w:w="4988"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CellMar>
          <w:top w:w="0" w:type="dxa"/>
          <w:left w:w="108" w:type="dxa"/>
          <w:bottom w:w="0" w:type="dxa"/>
          <w:right w:w="108" w:type="dxa"/>
        </w:tblCellMar>
      </w:tblPr>
      <w:tblGrid>
        <w:gridCol w:w="561"/>
        <w:gridCol w:w="2508"/>
        <w:gridCol w:w="1222"/>
        <w:gridCol w:w="1833"/>
        <w:gridCol w:w="880"/>
        <w:gridCol w:w="1492"/>
        <w:gridCol w:w="1436"/>
      </w:tblGrid>
      <w:tr w14:paraId="6335869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44" w:hRule="atLeast"/>
        </w:trPr>
        <w:tc>
          <w:tcPr>
            <w:tcW w:w="282" w:type="pct"/>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A835EF">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序号</w:t>
            </w:r>
          </w:p>
        </w:tc>
        <w:tc>
          <w:tcPr>
            <w:tcW w:w="12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78197F">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1</w:t>
            </w:r>
          </w:p>
        </w:tc>
        <w:tc>
          <w:tcPr>
            <w:tcW w:w="615"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8E6114">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2</w:t>
            </w:r>
          </w:p>
        </w:tc>
        <w:tc>
          <w:tcPr>
            <w:tcW w:w="9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0E1506">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3</w:t>
            </w:r>
          </w:p>
        </w:tc>
        <w:tc>
          <w:tcPr>
            <w:tcW w:w="44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6E6FD9">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4</w:t>
            </w:r>
          </w:p>
        </w:tc>
        <w:tc>
          <w:tcPr>
            <w:tcW w:w="7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825F39">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5</w:t>
            </w:r>
          </w:p>
        </w:tc>
        <w:tc>
          <w:tcPr>
            <w:tcW w:w="7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9CE79F">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6</w:t>
            </w:r>
          </w:p>
        </w:tc>
      </w:tr>
      <w:tr w14:paraId="6C22482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94" w:hRule="atLeast"/>
        </w:trPr>
        <w:tc>
          <w:tcPr>
            <w:tcW w:w="282" w:type="pct"/>
            <w:vMerge w:val="continue"/>
            <w:tcBorders>
              <w:top w:val="single" w:color="000000" w:sz="4" w:space="0"/>
              <w:left w:val="single" w:color="000000" w:sz="4" w:space="0"/>
              <w:bottom w:val="single" w:color="000000" w:sz="4" w:space="0"/>
              <w:right w:val="single" w:color="000000" w:sz="4" w:space="0"/>
            </w:tcBorders>
          </w:tcPr>
          <w:p w14:paraId="0BB99F9D">
            <w:pPr>
              <w:rPr>
                <w:rFonts w:ascii="宋体" w:hAnsi="宋体" w:eastAsia="等线" w:cs="宋体"/>
                <w:color w:val="auto"/>
                <w:szCs w:val="21"/>
              </w:rPr>
            </w:pPr>
          </w:p>
        </w:tc>
        <w:tc>
          <w:tcPr>
            <w:tcW w:w="1262" w:type="pct"/>
            <w:tcBorders>
              <w:top w:val="nil"/>
              <w:left w:val="single" w:color="000000" w:sz="4" w:space="0"/>
              <w:bottom w:val="single" w:color="000000" w:sz="8" w:space="0"/>
              <w:right w:val="single" w:color="000000" w:sz="8" w:space="0"/>
            </w:tcBorders>
            <w:tcMar>
              <w:top w:w="0" w:type="dxa"/>
              <w:left w:w="108" w:type="dxa"/>
              <w:bottom w:w="0" w:type="dxa"/>
              <w:right w:w="108" w:type="dxa"/>
            </w:tcMar>
            <w:vAlign w:val="center"/>
          </w:tcPr>
          <w:p w14:paraId="4AA35972">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分项服务名称</w:t>
            </w:r>
          </w:p>
        </w:tc>
        <w:tc>
          <w:tcPr>
            <w:tcW w:w="615" w:type="pct"/>
            <w:tcBorders>
              <w:top w:val="nil"/>
              <w:left w:val="nil"/>
              <w:bottom w:val="single" w:color="000000" w:sz="8" w:space="0"/>
              <w:right w:val="single" w:color="000000" w:sz="8" w:space="0"/>
            </w:tcBorders>
            <w:tcMar>
              <w:top w:w="0" w:type="dxa"/>
              <w:left w:w="108" w:type="dxa"/>
              <w:bottom w:w="0" w:type="dxa"/>
              <w:right w:w="108" w:type="dxa"/>
            </w:tcMar>
            <w:vAlign w:val="center"/>
          </w:tcPr>
          <w:p w14:paraId="6040F2C2">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分项单位</w:t>
            </w:r>
          </w:p>
        </w:tc>
        <w:tc>
          <w:tcPr>
            <w:tcW w:w="923" w:type="pct"/>
            <w:tcBorders>
              <w:top w:val="nil"/>
              <w:left w:val="nil"/>
              <w:bottom w:val="single" w:color="000000" w:sz="8" w:space="0"/>
              <w:right w:val="single" w:color="000000" w:sz="8" w:space="0"/>
            </w:tcBorders>
            <w:tcMar>
              <w:top w:w="0" w:type="dxa"/>
              <w:left w:w="108" w:type="dxa"/>
              <w:bottom w:w="0" w:type="dxa"/>
              <w:right w:w="108" w:type="dxa"/>
            </w:tcMar>
            <w:vAlign w:val="center"/>
          </w:tcPr>
          <w:p w14:paraId="64BEA18F">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交付期</w:t>
            </w:r>
          </w:p>
        </w:tc>
        <w:tc>
          <w:tcPr>
            <w:tcW w:w="443" w:type="pct"/>
            <w:tcBorders>
              <w:top w:val="nil"/>
              <w:left w:val="nil"/>
              <w:bottom w:val="single" w:color="000000" w:sz="8" w:space="0"/>
              <w:right w:val="single" w:color="000000" w:sz="8" w:space="0"/>
            </w:tcBorders>
            <w:tcMar>
              <w:top w:w="0" w:type="dxa"/>
              <w:left w:w="108" w:type="dxa"/>
              <w:bottom w:w="0" w:type="dxa"/>
              <w:right w:w="108" w:type="dxa"/>
            </w:tcMar>
            <w:vAlign w:val="center"/>
          </w:tcPr>
          <w:p w14:paraId="11FB25BE">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数量</w:t>
            </w:r>
          </w:p>
        </w:tc>
        <w:tc>
          <w:tcPr>
            <w:tcW w:w="748" w:type="pct"/>
            <w:tcBorders>
              <w:top w:val="nil"/>
              <w:left w:val="nil"/>
              <w:bottom w:val="single" w:color="000000" w:sz="8" w:space="0"/>
              <w:right w:val="single" w:color="000000" w:sz="8" w:space="0"/>
            </w:tcBorders>
            <w:tcMar>
              <w:top w:w="0" w:type="dxa"/>
              <w:left w:w="108" w:type="dxa"/>
              <w:bottom w:w="0" w:type="dxa"/>
              <w:right w:w="108" w:type="dxa"/>
            </w:tcMar>
            <w:vAlign w:val="center"/>
          </w:tcPr>
          <w:p w14:paraId="1646E624">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分项</w:t>
            </w:r>
          </w:p>
          <w:p w14:paraId="1C05D44D">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单价</w:t>
            </w:r>
          </w:p>
        </w:tc>
        <w:tc>
          <w:tcPr>
            <w:tcW w:w="723" w:type="pct"/>
            <w:tcBorders>
              <w:top w:val="nil"/>
              <w:left w:val="nil"/>
              <w:bottom w:val="single" w:color="000000" w:sz="8" w:space="0"/>
              <w:right w:val="single" w:color="000000" w:sz="8" w:space="0"/>
            </w:tcBorders>
            <w:tcMar>
              <w:top w:w="0" w:type="dxa"/>
              <w:left w:w="108" w:type="dxa"/>
              <w:bottom w:w="0" w:type="dxa"/>
              <w:right w:w="108" w:type="dxa"/>
            </w:tcMar>
            <w:vAlign w:val="center"/>
          </w:tcPr>
          <w:p w14:paraId="01FDBD4E">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分项</w:t>
            </w:r>
          </w:p>
          <w:p w14:paraId="133B5842">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总价</w:t>
            </w:r>
          </w:p>
        </w:tc>
      </w:tr>
      <w:tr w14:paraId="547757A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54" w:hRule="atLeast"/>
        </w:trPr>
        <w:tc>
          <w:tcPr>
            <w:tcW w:w="28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66F7F5">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1</w:t>
            </w:r>
          </w:p>
        </w:tc>
        <w:tc>
          <w:tcPr>
            <w:tcW w:w="12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49E961">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住院入口（服务大厅）扩建项目</w:t>
            </w:r>
            <w:r>
              <w:rPr>
                <w:rFonts w:hint="eastAsia" w:ascii="宋体" w:hAnsi="宋体" w:eastAsia="等线" w:cs="宋体"/>
                <w:color w:val="auto"/>
                <w:szCs w:val="21"/>
                <w:lang w:eastAsia="zh-CN"/>
              </w:rPr>
              <w:t>－</w:t>
            </w:r>
            <w:r>
              <w:rPr>
                <w:rFonts w:hint="eastAsia" w:ascii="宋体" w:hAnsi="宋体" w:eastAsia="等线" w:cs="宋体"/>
                <w:color w:val="auto"/>
                <w:szCs w:val="21"/>
              </w:rPr>
              <w:t>编制项目建议书</w:t>
            </w:r>
          </w:p>
        </w:tc>
        <w:tc>
          <w:tcPr>
            <w:tcW w:w="615"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5EF328">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 </w:t>
            </w:r>
          </w:p>
        </w:tc>
        <w:tc>
          <w:tcPr>
            <w:tcW w:w="9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18F57D">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合同签</w:t>
            </w:r>
          </w:p>
          <w:p w14:paraId="5E40DA64">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订后</w:t>
            </w:r>
            <w:r>
              <w:rPr>
                <w:rFonts w:hint="eastAsia" w:ascii="宋体" w:hAnsi="宋体" w:eastAsia="等线" w:cs="宋体"/>
                <w:color w:val="auto"/>
                <w:szCs w:val="21"/>
                <w:u w:val="single"/>
              </w:rPr>
              <w:t>  </w:t>
            </w:r>
            <w:r>
              <w:rPr>
                <w:rFonts w:hint="eastAsia" w:ascii="宋体" w:hAnsi="宋体" w:eastAsia="等线" w:cs="宋体"/>
                <w:color w:val="auto"/>
                <w:szCs w:val="21"/>
              </w:rPr>
              <w:t>日</w:t>
            </w:r>
          </w:p>
        </w:tc>
        <w:tc>
          <w:tcPr>
            <w:tcW w:w="44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5B7876">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 </w:t>
            </w:r>
          </w:p>
        </w:tc>
        <w:tc>
          <w:tcPr>
            <w:tcW w:w="7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866825">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 </w:t>
            </w:r>
          </w:p>
        </w:tc>
        <w:tc>
          <w:tcPr>
            <w:tcW w:w="7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D1566C">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 </w:t>
            </w:r>
          </w:p>
        </w:tc>
      </w:tr>
      <w:tr w14:paraId="472B6E2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54" w:hRule="atLeast"/>
        </w:trPr>
        <w:tc>
          <w:tcPr>
            <w:tcW w:w="28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CCBFAD">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2</w:t>
            </w:r>
          </w:p>
        </w:tc>
        <w:tc>
          <w:tcPr>
            <w:tcW w:w="12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375F7A0">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住院入口（服务大厅）扩建项目</w:t>
            </w:r>
            <w:r>
              <w:rPr>
                <w:rFonts w:hint="eastAsia" w:ascii="宋体" w:hAnsi="宋体" w:eastAsia="等线" w:cs="宋体"/>
                <w:color w:val="auto"/>
                <w:szCs w:val="21"/>
                <w:lang w:eastAsia="zh-CN"/>
              </w:rPr>
              <w:t>－</w:t>
            </w:r>
            <w:r>
              <w:rPr>
                <w:rFonts w:hint="eastAsia" w:ascii="宋体" w:hAnsi="宋体" w:eastAsia="等线" w:cs="宋体"/>
                <w:color w:val="auto"/>
                <w:szCs w:val="21"/>
              </w:rPr>
              <w:t>编制可行性研究报告</w:t>
            </w:r>
          </w:p>
        </w:tc>
        <w:tc>
          <w:tcPr>
            <w:tcW w:w="615"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55682C">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9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BBD72D">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44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841F36">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A4B725">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15E12B">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r>
      <w:tr w14:paraId="145A83A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54" w:hRule="atLeast"/>
        </w:trPr>
        <w:tc>
          <w:tcPr>
            <w:tcW w:w="28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64C9A6">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3</w:t>
            </w:r>
          </w:p>
        </w:tc>
        <w:tc>
          <w:tcPr>
            <w:tcW w:w="12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295F61">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门诊楼扩建项目-编制项目建议书</w:t>
            </w:r>
          </w:p>
        </w:tc>
        <w:tc>
          <w:tcPr>
            <w:tcW w:w="615"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7D7CF8">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9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DC7EBB">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44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32F88F">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79EAA0">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9A398A">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r>
      <w:tr w14:paraId="159A898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54" w:hRule="atLeast"/>
        </w:trPr>
        <w:tc>
          <w:tcPr>
            <w:tcW w:w="28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FC0BF9">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4</w:t>
            </w:r>
          </w:p>
        </w:tc>
        <w:tc>
          <w:tcPr>
            <w:tcW w:w="12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3D1FFB">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门诊楼扩建项目-编制可行性研究报告</w:t>
            </w:r>
          </w:p>
        </w:tc>
        <w:tc>
          <w:tcPr>
            <w:tcW w:w="615"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1749CC">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9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B040AA">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44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B7F455">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9DC834">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56F260">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r>
      <w:tr w14:paraId="616A84F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54" w:hRule="atLeast"/>
        </w:trPr>
        <w:tc>
          <w:tcPr>
            <w:tcW w:w="28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B0A5E7">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5</w:t>
            </w:r>
          </w:p>
        </w:tc>
        <w:tc>
          <w:tcPr>
            <w:tcW w:w="12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A8CE1C">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既有建筑改造项目</w:t>
            </w:r>
            <w:r>
              <w:rPr>
                <w:rFonts w:hint="eastAsia" w:ascii="宋体" w:hAnsi="宋体" w:eastAsia="等线" w:cs="宋体"/>
                <w:color w:val="auto"/>
                <w:szCs w:val="21"/>
                <w:lang w:eastAsia="zh-CN"/>
              </w:rPr>
              <w:t>－</w:t>
            </w:r>
            <w:r>
              <w:rPr>
                <w:rFonts w:hint="eastAsia" w:ascii="宋体" w:hAnsi="宋体" w:eastAsia="等线" w:cs="宋体"/>
                <w:color w:val="auto"/>
                <w:szCs w:val="21"/>
              </w:rPr>
              <w:t>编制项目建议书</w:t>
            </w:r>
          </w:p>
        </w:tc>
        <w:tc>
          <w:tcPr>
            <w:tcW w:w="615"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1EAC07">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9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BCAFAA">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44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07B72B">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25DCD6">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E4F7E4">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r>
      <w:tr w14:paraId="17A6B37D">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54" w:hRule="atLeast"/>
        </w:trPr>
        <w:tc>
          <w:tcPr>
            <w:tcW w:w="28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BDAD50">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6</w:t>
            </w:r>
          </w:p>
        </w:tc>
        <w:tc>
          <w:tcPr>
            <w:tcW w:w="12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915AFF">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既有建筑改造项目</w:t>
            </w:r>
            <w:r>
              <w:rPr>
                <w:rFonts w:hint="eastAsia" w:ascii="宋体" w:hAnsi="宋体" w:eastAsia="等线" w:cs="宋体"/>
                <w:color w:val="auto"/>
                <w:szCs w:val="21"/>
                <w:lang w:eastAsia="zh-CN"/>
              </w:rPr>
              <w:t>－</w:t>
            </w:r>
            <w:r>
              <w:rPr>
                <w:rFonts w:hint="eastAsia" w:ascii="宋体" w:hAnsi="宋体" w:eastAsia="等线" w:cs="宋体"/>
                <w:color w:val="auto"/>
                <w:szCs w:val="21"/>
              </w:rPr>
              <w:t>编制可行性研究报告</w:t>
            </w:r>
          </w:p>
        </w:tc>
        <w:tc>
          <w:tcPr>
            <w:tcW w:w="615"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3ABFF1">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9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830618">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44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097912">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B134C5">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6AF7FB">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r>
      <w:tr w14:paraId="53688031">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54" w:hRule="atLeast"/>
        </w:trPr>
        <w:tc>
          <w:tcPr>
            <w:tcW w:w="28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DC34F0">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7</w:t>
            </w:r>
          </w:p>
        </w:tc>
        <w:tc>
          <w:tcPr>
            <w:tcW w:w="12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AFCC04">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综合病房楼提升改造项目</w:t>
            </w:r>
            <w:r>
              <w:rPr>
                <w:rFonts w:hint="eastAsia" w:ascii="宋体" w:hAnsi="宋体" w:eastAsia="等线" w:cs="宋体"/>
                <w:color w:val="auto"/>
                <w:szCs w:val="21"/>
                <w:lang w:eastAsia="zh-CN"/>
              </w:rPr>
              <w:t>－</w:t>
            </w:r>
            <w:r>
              <w:rPr>
                <w:rFonts w:hint="eastAsia" w:ascii="宋体" w:hAnsi="宋体" w:eastAsia="等线" w:cs="宋体"/>
                <w:color w:val="auto"/>
                <w:szCs w:val="21"/>
              </w:rPr>
              <w:t>编制项目建议书</w:t>
            </w:r>
          </w:p>
        </w:tc>
        <w:tc>
          <w:tcPr>
            <w:tcW w:w="615"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1374C7">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9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5EF8A1">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44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AE9410">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B2E1C8">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8E4B83">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r>
      <w:tr w14:paraId="15ED7E9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54" w:hRule="atLeast"/>
        </w:trPr>
        <w:tc>
          <w:tcPr>
            <w:tcW w:w="28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33F0FC">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8</w:t>
            </w:r>
          </w:p>
        </w:tc>
        <w:tc>
          <w:tcPr>
            <w:tcW w:w="12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D8EFC0">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综合病房楼提升改造项目</w:t>
            </w:r>
            <w:r>
              <w:rPr>
                <w:rFonts w:hint="eastAsia" w:ascii="宋体" w:hAnsi="宋体" w:eastAsia="等线" w:cs="宋体"/>
                <w:color w:val="auto"/>
                <w:szCs w:val="21"/>
                <w:lang w:eastAsia="zh-CN"/>
              </w:rPr>
              <w:t>－</w:t>
            </w:r>
            <w:r>
              <w:rPr>
                <w:rFonts w:hint="eastAsia" w:ascii="宋体" w:hAnsi="宋体" w:eastAsia="等线" w:cs="宋体"/>
                <w:color w:val="auto"/>
                <w:szCs w:val="21"/>
              </w:rPr>
              <w:t>编制可行性研究报告</w:t>
            </w:r>
          </w:p>
        </w:tc>
        <w:tc>
          <w:tcPr>
            <w:tcW w:w="615"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4324D5">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9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DC29AC">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44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1C8BE4">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E43392">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c>
          <w:tcPr>
            <w:tcW w:w="7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57169B">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p>
        </w:tc>
      </w:tr>
      <w:tr w14:paraId="49FC618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54" w:hRule="atLeast"/>
        </w:trPr>
        <w:tc>
          <w:tcPr>
            <w:tcW w:w="28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FBB03E">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w:t>
            </w:r>
          </w:p>
        </w:tc>
        <w:tc>
          <w:tcPr>
            <w:tcW w:w="1262"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BE7EEB">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w:t>
            </w:r>
          </w:p>
        </w:tc>
        <w:tc>
          <w:tcPr>
            <w:tcW w:w="615"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B03CCE">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 </w:t>
            </w:r>
          </w:p>
        </w:tc>
        <w:tc>
          <w:tcPr>
            <w:tcW w:w="9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01880A">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 </w:t>
            </w:r>
          </w:p>
        </w:tc>
        <w:tc>
          <w:tcPr>
            <w:tcW w:w="44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19EDA0">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 </w:t>
            </w:r>
          </w:p>
        </w:tc>
        <w:tc>
          <w:tcPr>
            <w:tcW w:w="748"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835269">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 </w:t>
            </w:r>
          </w:p>
        </w:tc>
        <w:tc>
          <w:tcPr>
            <w:tcW w:w="7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C47343">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 </w:t>
            </w:r>
          </w:p>
        </w:tc>
      </w:tr>
      <w:tr w14:paraId="37E078E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87" w:hRule="atLeast"/>
        </w:trPr>
        <w:tc>
          <w:tcPr>
            <w:tcW w:w="4276" w:type="pct"/>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E143DE">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总报价（人民币：元）</w:t>
            </w:r>
          </w:p>
        </w:tc>
        <w:tc>
          <w:tcPr>
            <w:tcW w:w="723" w:type="pc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350F159">
            <w:pPr>
              <w:pBdr>
                <w:top w:val="none" w:color="000000" w:sz="0" w:space="0"/>
                <w:left w:val="none" w:color="000000" w:sz="0" w:space="0"/>
                <w:bottom w:val="none" w:color="000000" w:sz="0" w:space="0"/>
                <w:right w:val="none" w:color="000000" w:sz="0" w:space="0"/>
              </w:pBdr>
              <w:jc w:val="center"/>
              <w:rPr>
                <w:rFonts w:ascii="宋体" w:hAnsi="宋体" w:eastAsia="等线" w:cs="宋体"/>
                <w:color w:val="auto"/>
                <w:szCs w:val="21"/>
              </w:rPr>
            </w:pPr>
            <w:r>
              <w:rPr>
                <w:rFonts w:hint="eastAsia" w:ascii="宋体" w:hAnsi="宋体" w:eastAsia="等线" w:cs="宋体"/>
                <w:color w:val="auto"/>
                <w:szCs w:val="21"/>
              </w:rPr>
              <w:t> </w:t>
            </w:r>
          </w:p>
        </w:tc>
      </w:tr>
    </w:tbl>
    <w:p w14:paraId="330CE133">
      <w:pPr>
        <w:spacing w:line="360" w:lineRule="auto"/>
        <w:rPr>
          <w:rFonts w:ascii="宋体" w:hAnsi="宋体" w:cs="宋体"/>
          <w:bCs/>
          <w:color w:val="auto"/>
          <w:szCs w:val="21"/>
        </w:rPr>
      </w:pPr>
      <w:r>
        <w:rPr>
          <w:rFonts w:hint="eastAsia" w:ascii="宋体" w:hAnsi="宋体" w:cs="宋体"/>
          <w:bCs/>
          <w:color w:val="auto"/>
          <w:szCs w:val="21"/>
        </w:rPr>
        <w:t>法定代表人或授权代表（签字或盖章）：</w:t>
      </w:r>
    </w:p>
    <w:p w14:paraId="326C88CD">
      <w:pPr>
        <w:spacing w:line="360" w:lineRule="auto"/>
        <w:rPr>
          <w:rFonts w:ascii="宋体" w:hAnsi="宋体" w:cs="宋体"/>
          <w:bCs/>
          <w:color w:val="auto"/>
          <w:szCs w:val="21"/>
        </w:rPr>
      </w:pPr>
      <w:r>
        <w:rPr>
          <w:rFonts w:hint="eastAsia" w:ascii="宋体" w:hAnsi="宋体" w:cs="宋体"/>
          <w:bCs/>
          <w:color w:val="auto"/>
          <w:szCs w:val="21"/>
        </w:rPr>
        <w:t>磋商供应商全称（盖章）：</w:t>
      </w:r>
    </w:p>
    <w:p w14:paraId="6FFD4BBE">
      <w:pPr>
        <w:spacing w:line="360" w:lineRule="auto"/>
        <w:rPr>
          <w:rFonts w:ascii="宋体" w:hAnsi="宋体" w:cs="宋体"/>
          <w:bCs/>
          <w:color w:val="auto"/>
          <w:szCs w:val="21"/>
        </w:rPr>
      </w:pPr>
      <w:r>
        <w:rPr>
          <w:rFonts w:hint="eastAsia" w:ascii="宋体" w:hAnsi="宋体" w:cs="宋体"/>
          <w:bCs/>
          <w:color w:val="auto"/>
          <w:szCs w:val="21"/>
        </w:rPr>
        <w:t>日   期：  年   月  日</w:t>
      </w:r>
    </w:p>
    <w:p w14:paraId="32CD4262">
      <w:pPr>
        <w:pBdr>
          <w:top w:val="none" w:color="000000" w:sz="0" w:space="0"/>
          <w:left w:val="none" w:color="000000" w:sz="0" w:space="0"/>
          <w:bottom w:val="none" w:color="000000" w:sz="0" w:space="0"/>
          <w:right w:val="none" w:color="000000" w:sz="0" w:space="0"/>
        </w:pBdr>
        <w:spacing w:line="360" w:lineRule="auto"/>
        <w:rPr>
          <w:rFonts w:ascii="宋体" w:hAnsi="宋体" w:cs="宋体"/>
          <w:color w:val="auto"/>
          <w:szCs w:val="21"/>
        </w:rPr>
      </w:pPr>
      <w:r>
        <w:rPr>
          <w:rFonts w:hint="eastAsia" w:ascii="宋体" w:hAnsi="宋体" w:cs="宋体"/>
          <w:color w:val="auto"/>
          <w:szCs w:val="21"/>
        </w:rPr>
        <w:t xml:space="preserve">备注： </w:t>
      </w:r>
    </w:p>
    <w:p w14:paraId="02C024F2">
      <w:pPr>
        <w:pBdr>
          <w:top w:val="none" w:color="000000" w:sz="0" w:space="0"/>
          <w:left w:val="none" w:color="000000" w:sz="0" w:space="0"/>
          <w:bottom w:val="none" w:color="000000" w:sz="0" w:space="0"/>
          <w:right w:val="none" w:color="000000" w:sz="0" w:space="0"/>
        </w:pBdr>
        <w:spacing w:line="360" w:lineRule="auto"/>
        <w:rPr>
          <w:rFonts w:ascii="宋体" w:hAnsi="宋体" w:cs="宋体"/>
          <w:color w:val="auto"/>
          <w:szCs w:val="21"/>
        </w:rPr>
      </w:pPr>
      <w:r>
        <w:rPr>
          <w:rFonts w:hint="eastAsia" w:ascii="宋体" w:hAnsi="宋体" w:cs="宋体"/>
          <w:color w:val="auto"/>
          <w:szCs w:val="21"/>
        </w:rPr>
        <w:t>1.根据本项目所涉及的四个子项目，供应商需对</w:t>
      </w:r>
      <w:r>
        <w:rPr>
          <w:rFonts w:hint="eastAsia" w:ascii="宋体" w:hAnsi="宋体" w:cs="宋体"/>
          <w:color w:val="auto"/>
          <w:szCs w:val="21"/>
          <w:lang w:eastAsia="zh-CN"/>
        </w:rPr>
        <w:t>每个</w:t>
      </w:r>
      <w:r>
        <w:rPr>
          <w:rFonts w:hint="eastAsia" w:ascii="宋体" w:hAnsi="宋体" w:cs="宋体"/>
          <w:color w:val="auto"/>
          <w:szCs w:val="21"/>
        </w:rPr>
        <w:t>子项目所服务的内容分别报价。</w:t>
      </w:r>
    </w:p>
    <w:p w14:paraId="13EAD37C">
      <w:pPr>
        <w:pBdr>
          <w:top w:val="none" w:color="000000" w:sz="0" w:space="0"/>
          <w:left w:val="none" w:color="000000" w:sz="0" w:space="0"/>
          <w:bottom w:val="none" w:color="000000" w:sz="0" w:space="0"/>
          <w:right w:val="none" w:color="000000" w:sz="0" w:space="0"/>
        </w:pBdr>
        <w:spacing w:line="360" w:lineRule="auto"/>
        <w:rPr>
          <w:rFonts w:ascii="宋体" w:hAnsi="宋体" w:cs="宋体"/>
          <w:color w:val="auto"/>
          <w:szCs w:val="21"/>
        </w:rPr>
      </w:pPr>
      <w:r>
        <w:rPr>
          <w:rFonts w:hint="eastAsia" w:ascii="宋体" w:hAnsi="宋体" w:cs="宋体"/>
          <w:color w:val="auto"/>
          <w:szCs w:val="21"/>
        </w:rPr>
        <w:t>2.供应商可以根据项目实际需要对表格结构进行调整。</w:t>
      </w:r>
    </w:p>
    <w:p w14:paraId="4DB697EB">
      <w:pPr>
        <w:spacing w:line="360" w:lineRule="auto"/>
        <w:jc w:val="center"/>
        <w:rPr>
          <w:rFonts w:ascii="宋体" w:hAnsi="宋体" w:cs="宋体"/>
          <w:b/>
          <w:color w:val="auto"/>
          <w:kern w:val="1"/>
          <w:szCs w:val="21"/>
        </w:rPr>
      </w:pPr>
      <w:r>
        <w:rPr>
          <w:rFonts w:hint="eastAsia" w:ascii="宋体" w:hAnsi="宋体" w:cs="宋体"/>
          <w:b/>
          <w:color w:val="auto"/>
          <w:szCs w:val="21"/>
        </w:rPr>
        <w:br w:type="page"/>
      </w:r>
      <w:r>
        <w:rPr>
          <w:rFonts w:hint="eastAsia" w:ascii="宋体" w:hAnsi="宋体" w:cs="宋体"/>
          <w:b/>
          <w:color w:val="auto"/>
          <w:sz w:val="24"/>
        </w:rPr>
        <w:t>七、响应偏离表</w:t>
      </w:r>
    </w:p>
    <w:p w14:paraId="5CFE1B74">
      <w:pPr>
        <w:pStyle w:val="16"/>
        <w:spacing w:line="360" w:lineRule="auto"/>
        <w:rPr>
          <w:rFonts w:ascii="宋体" w:hAnsi="宋体" w:cs="宋体"/>
          <w:color w:val="auto"/>
          <w:sz w:val="21"/>
          <w:szCs w:val="21"/>
        </w:rPr>
      </w:pPr>
      <w:r>
        <w:rPr>
          <w:rFonts w:hint="eastAsia" w:ascii="宋体" w:hAnsi="宋体" w:cs="宋体"/>
          <w:color w:val="auto"/>
          <w:sz w:val="21"/>
          <w:szCs w:val="21"/>
        </w:rPr>
        <w:t>项目名称：</w:t>
      </w:r>
    </w:p>
    <w:p w14:paraId="26E06A94">
      <w:pPr>
        <w:spacing w:line="360" w:lineRule="auto"/>
        <w:rPr>
          <w:rFonts w:ascii="宋体" w:hAnsi="宋体" w:cs="宋体"/>
          <w:color w:val="auto"/>
          <w:szCs w:val="21"/>
        </w:rPr>
      </w:pPr>
      <w:r>
        <w:rPr>
          <w:rFonts w:hint="eastAsia" w:ascii="宋体" w:hAnsi="宋体" w:cs="宋体"/>
          <w:color w:val="auto"/>
          <w:szCs w:val="21"/>
        </w:rPr>
        <w:t>项目编号：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325"/>
        <w:gridCol w:w="1642"/>
        <w:gridCol w:w="1642"/>
        <w:gridCol w:w="1643"/>
        <w:gridCol w:w="1643"/>
      </w:tblGrid>
      <w:tr w14:paraId="0624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vAlign w:val="center"/>
          </w:tcPr>
          <w:p w14:paraId="77B7DBF2">
            <w:pPr>
              <w:spacing w:line="360" w:lineRule="auto"/>
              <w:jc w:val="center"/>
              <w:rPr>
                <w:rFonts w:ascii="宋体" w:hAnsi="宋体" w:cs="宋体"/>
                <w:color w:val="auto"/>
                <w:szCs w:val="21"/>
              </w:rPr>
            </w:pPr>
            <w:r>
              <w:rPr>
                <w:rFonts w:hint="eastAsia" w:ascii="宋体" w:hAnsi="宋体" w:cs="宋体"/>
                <w:color w:val="auto"/>
                <w:szCs w:val="21"/>
              </w:rPr>
              <w:t>序号</w:t>
            </w:r>
          </w:p>
        </w:tc>
        <w:tc>
          <w:tcPr>
            <w:tcW w:w="2325" w:type="dxa"/>
            <w:noWrap/>
            <w:vAlign w:val="center"/>
          </w:tcPr>
          <w:p w14:paraId="37D42810">
            <w:pPr>
              <w:spacing w:line="360" w:lineRule="auto"/>
              <w:jc w:val="center"/>
              <w:rPr>
                <w:rFonts w:ascii="宋体" w:hAnsi="宋体" w:cs="宋体"/>
                <w:color w:val="auto"/>
                <w:szCs w:val="21"/>
              </w:rPr>
            </w:pPr>
            <w:r>
              <w:rPr>
                <w:rFonts w:hint="eastAsia" w:ascii="宋体" w:hAnsi="宋体" w:cs="宋体"/>
                <w:color w:val="auto"/>
                <w:szCs w:val="21"/>
              </w:rPr>
              <w:t>名称</w:t>
            </w:r>
          </w:p>
        </w:tc>
        <w:tc>
          <w:tcPr>
            <w:tcW w:w="1642" w:type="dxa"/>
            <w:noWrap/>
            <w:vAlign w:val="center"/>
          </w:tcPr>
          <w:p w14:paraId="12F7D1B8">
            <w:pPr>
              <w:spacing w:line="360" w:lineRule="auto"/>
              <w:jc w:val="center"/>
              <w:rPr>
                <w:rFonts w:ascii="宋体" w:hAnsi="宋体" w:cs="宋体"/>
                <w:color w:val="auto"/>
                <w:szCs w:val="21"/>
              </w:rPr>
            </w:pPr>
            <w:r>
              <w:rPr>
                <w:rFonts w:hint="eastAsia" w:ascii="宋体" w:hAnsi="宋体" w:cs="宋体"/>
                <w:color w:val="auto"/>
                <w:szCs w:val="21"/>
              </w:rPr>
              <w:t>磋商要求</w:t>
            </w:r>
          </w:p>
        </w:tc>
        <w:tc>
          <w:tcPr>
            <w:tcW w:w="1642" w:type="dxa"/>
            <w:noWrap/>
            <w:vAlign w:val="center"/>
          </w:tcPr>
          <w:p w14:paraId="15C996F8">
            <w:pPr>
              <w:spacing w:line="360" w:lineRule="auto"/>
              <w:jc w:val="center"/>
              <w:rPr>
                <w:rFonts w:ascii="宋体" w:hAnsi="宋体" w:cs="宋体"/>
                <w:color w:val="auto"/>
                <w:szCs w:val="21"/>
              </w:rPr>
            </w:pPr>
            <w:r>
              <w:rPr>
                <w:rFonts w:hint="eastAsia" w:ascii="宋体" w:hAnsi="宋体" w:cs="宋体"/>
                <w:color w:val="auto"/>
                <w:szCs w:val="21"/>
              </w:rPr>
              <w:t>响应承诺</w:t>
            </w:r>
          </w:p>
        </w:tc>
        <w:tc>
          <w:tcPr>
            <w:tcW w:w="1643" w:type="dxa"/>
            <w:noWrap/>
            <w:vAlign w:val="center"/>
          </w:tcPr>
          <w:p w14:paraId="1A1042A1">
            <w:pPr>
              <w:spacing w:line="360" w:lineRule="auto"/>
              <w:jc w:val="center"/>
              <w:rPr>
                <w:rFonts w:ascii="宋体" w:hAnsi="宋体" w:cs="宋体"/>
                <w:color w:val="auto"/>
                <w:szCs w:val="21"/>
              </w:rPr>
            </w:pPr>
            <w:r>
              <w:rPr>
                <w:rFonts w:hint="eastAsia" w:ascii="宋体" w:hAnsi="宋体" w:cs="宋体"/>
                <w:color w:val="auto"/>
                <w:szCs w:val="21"/>
              </w:rPr>
              <w:t>偏离</w:t>
            </w:r>
          </w:p>
        </w:tc>
        <w:tc>
          <w:tcPr>
            <w:tcW w:w="1643" w:type="dxa"/>
            <w:noWrap/>
            <w:vAlign w:val="center"/>
          </w:tcPr>
          <w:p w14:paraId="23396220">
            <w:pPr>
              <w:spacing w:line="360" w:lineRule="auto"/>
              <w:jc w:val="center"/>
              <w:rPr>
                <w:rFonts w:ascii="宋体" w:hAnsi="宋体" w:cs="宋体"/>
                <w:color w:val="auto"/>
                <w:szCs w:val="21"/>
              </w:rPr>
            </w:pPr>
            <w:r>
              <w:rPr>
                <w:rFonts w:hint="eastAsia" w:ascii="宋体" w:hAnsi="宋体" w:cs="宋体"/>
                <w:color w:val="auto"/>
                <w:szCs w:val="21"/>
              </w:rPr>
              <w:t>说明</w:t>
            </w:r>
          </w:p>
        </w:tc>
      </w:tr>
      <w:tr w14:paraId="03D4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tcPr>
          <w:p w14:paraId="57B31776">
            <w:pPr>
              <w:spacing w:line="360" w:lineRule="auto"/>
              <w:rPr>
                <w:rFonts w:ascii="宋体" w:hAnsi="宋体" w:cs="宋体"/>
                <w:color w:val="auto"/>
                <w:szCs w:val="21"/>
              </w:rPr>
            </w:pPr>
          </w:p>
        </w:tc>
        <w:tc>
          <w:tcPr>
            <w:tcW w:w="2325" w:type="dxa"/>
            <w:noWrap/>
            <w:vAlign w:val="center"/>
          </w:tcPr>
          <w:p w14:paraId="2BC5F986">
            <w:pPr>
              <w:spacing w:line="360" w:lineRule="auto"/>
              <w:jc w:val="center"/>
              <w:rPr>
                <w:rFonts w:ascii="宋体" w:hAnsi="宋体" w:cs="宋体"/>
                <w:color w:val="auto"/>
                <w:szCs w:val="21"/>
              </w:rPr>
            </w:pPr>
            <w:r>
              <w:rPr>
                <w:rFonts w:hint="eastAsia" w:ascii="宋体" w:hAnsi="宋体" w:cs="宋体"/>
                <w:color w:val="auto"/>
                <w:szCs w:val="21"/>
              </w:rPr>
              <w:t>合同履行期限</w:t>
            </w:r>
          </w:p>
        </w:tc>
        <w:tc>
          <w:tcPr>
            <w:tcW w:w="1642" w:type="dxa"/>
            <w:noWrap/>
          </w:tcPr>
          <w:p w14:paraId="6BA12006">
            <w:pPr>
              <w:spacing w:line="360" w:lineRule="auto"/>
              <w:rPr>
                <w:rFonts w:ascii="宋体" w:hAnsi="宋体" w:cs="宋体"/>
                <w:color w:val="auto"/>
                <w:szCs w:val="21"/>
              </w:rPr>
            </w:pPr>
          </w:p>
        </w:tc>
        <w:tc>
          <w:tcPr>
            <w:tcW w:w="1642" w:type="dxa"/>
            <w:noWrap/>
          </w:tcPr>
          <w:p w14:paraId="74765A5D">
            <w:pPr>
              <w:spacing w:line="360" w:lineRule="auto"/>
              <w:rPr>
                <w:rFonts w:ascii="宋体" w:hAnsi="宋体" w:cs="宋体"/>
                <w:color w:val="auto"/>
                <w:szCs w:val="21"/>
              </w:rPr>
            </w:pPr>
          </w:p>
        </w:tc>
        <w:tc>
          <w:tcPr>
            <w:tcW w:w="1643" w:type="dxa"/>
            <w:noWrap/>
          </w:tcPr>
          <w:p w14:paraId="1FC55055">
            <w:pPr>
              <w:spacing w:line="360" w:lineRule="auto"/>
              <w:rPr>
                <w:rFonts w:ascii="宋体" w:hAnsi="宋体" w:cs="宋体"/>
                <w:color w:val="auto"/>
                <w:szCs w:val="21"/>
              </w:rPr>
            </w:pPr>
          </w:p>
        </w:tc>
        <w:tc>
          <w:tcPr>
            <w:tcW w:w="1643" w:type="dxa"/>
            <w:noWrap/>
          </w:tcPr>
          <w:p w14:paraId="3AEFE854">
            <w:pPr>
              <w:spacing w:line="360" w:lineRule="auto"/>
              <w:rPr>
                <w:rFonts w:ascii="宋体" w:hAnsi="宋体" w:cs="宋体"/>
                <w:color w:val="auto"/>
                <w:szCs w:val="21"/>
              </w:rPr>
            </w:pPr>
          </w:p>
        </w:tc>
      </w:tr>
      <w:tr w14:paraId="0AF9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tcPr>
          <w:p w14:paraId="36EEF9CF">
            <w:pPr>
              <w:spacing w:line="360" w:lineRule="auto"/>
              <w:rPr>
                <w:rFonts w:ascii="宋体" w:hAnsi="宋体" w:cs="宋体"/>
                <w:color w:val="auto"/>
                <w:szCs w:val="21"/>
              </w:rPr>
            </w:pPr>
          </w:p>
        </w:tc>
        <w:tc>
          <w:tcPr>
            <w:tcW w:w="2325" w:type="dxa"/>
            <w:noWrap/>
            <w:vAlign w:val="center"/>
          </w:tcPr>
          <w:p w14:paraId="2011274B">
            <w:pPr>
              <w:spacing w:line="360" w:lineRule="auto"/>
              <w:jc w:val="center"/>
              <w:rPr>
                <w:rFonts w:ascii="宋体" w:hAnsi="宋体" w:cs="宋体"/>
                <w:color w:val="auto"/>
                <w:szCs w:val="21"/>
              </w:rPr>
            </w:pPr>
            <w:r>
              <w:rPr>
                <w:rFonts w:hint="eastAsia" w:ascii="宋体" w:hAnsi="宋体" w:cs="宋体"/>
                <w:color w:val="auto"/>
                <w:szCs w:val="21"/>
              </w:rPr>
              <w:t>服务地点</w:t>
            </w:r>
          </w:p>
        </w:tc>
        <w:tc>
          <w:tcPr>
            <w:tcW w:w="1642" w:type="dxa"/>
            <w:noWrap/>
          </w:tcPr>
          <w:p w14:paraId="220B70B9">
            <w:pPr>
              <w:spacing w:line="360" w:lineRule="auto"/>
              <w:rPr>
                <w:rFonts w:ascii="宋体" w:hAnsi="宋体" w:cs="宋体"/>
                <w:color w:val="auto"/>
                <w:szCs w:val="21"/>
              </w:rPr>
            </w:pPr>
          </w:p>
        </w:tc>
        <w:tc>
          <w:tcPr>
            <w:tcW w:w="1642" w:type="dxa"/>
            <w:noWrap/>
          </w:tcPr>
          <w:p w14:paraId="2520F3F7">
            <w:pPr>
              <w:spacing w:line="360" w:lineRule="auto"/>
              <w:rPr>
                <w:rFonts w:ascii="宋体" w:hAnsi="宋体" w:cs="宋体"/>
                <w:color w:val="auto"/>
                <w:szCs w:val="21"/>
              </w:rPr>
            </w:pPr>
          </w:p>
        </w:tc>
        <w:tc>
          <w:tcPr>
            <w:tcW w:w="1643" w:type="dxa"/>
            <w:noWrap/>
          </w:tcPr>
          <w:p w14:paraId="38A8BF02">
            <w:pPr>
              <w:spacing w:line="360" w:lineRule="auto"/>
              <w:rPr>
                <w:rFonts w:ascii="宋体" w:hAnsi="宋体" w:cs="宋体"/>
                <w:color w:val="auto"/>
                <w:szCs w:val="21"/>
              </w:rPr>
            </w:pPr>
          </w:p>
        </w:tc>
        <w:tc>
          <w:tcPr>
            <w:tcW w:w="1643" w:type="dxa"/>
            <w:noWrap/>
          </w:tcPr>
          <w:p w14:paraId="6B60062E">
            <w:pPr>
              <w:spacing w:line="360" w:lineRule="auto"/>
              <w:rPr>
                <w:rFonts w:ascii="宋体" w:hAnsi="宋体" w:cs="宋体"/>
                <w:color w:val="auto"/>
                <w:szCs w:val="21"/>
              </w:rPr>
            </w:pPr>
          </w:p>
        </w:tc>
      </w:tr>
      <w:tr w14:paraId="22C2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tcPr>
          <w:p w14:paraId="313C6692">
            <w:pPr>
              <w:spacing w:line="360" w:lineRule="auto"/>
              <w:rPr>
                <w:rFonts w:ascii="宋体" w:hAnsi="宋体" w:cs="宋体"/>
                <w:color w:val="auto"/>
                <w:szCs w:val="21"/>
              </w:rPr>
            </w:pPr>
          </w:p>
        </w:tc>
        <w:tc>
          <w:tcPr>
            <w:tcW w:w="2325" w:type="dxa"/>
            <w:noWrap/>
            <w:vAlign w:val="center"/>
          </w:tcPr>
          <w:p w14:paraId="249AC060">
            <w:pPr>
              <w:spacing w:line="360" w:lineRule="auto"/>
              <w:jc w:val="center"/>
              <w:rPr>
                <w:rFonts w:ascii="宋体" w:hAnsi="宋体" w:cs="宋体"/>
                <w:color w:val="auto"/>
                <w:szCs w:val="21"/>
              </w:rPr>
            </w:pPr>
            <w:r>
              <w:rPr>
                <w:rFonts w:hint="eastAsia" w:ascii="宋体" w:hAnsi="宋体" w:cs="宋体"/>
                <w:color w:val="auto"/>
                <w:szCs w:val="21"/>
              </w:rPr>
              <w:t>服务要求</w:t>
            </w:r>
          </w:p>
        </w:tc>
        <w:tc>
          <w:tcPr>
            <w:tcW w:w="1642" w:type="dxa"/>
            <w:noWrap/>
          </w:tcPr>
          <w:p w14:paraId="771884A0">
            <w:pPr>
              <w:spacing w:line="360" w:lineRule="auto"/>
              <w:rPr>
                <w:rFonts w:ascii="宋体" w:hAnsi="宋体" w:cs="宋体"/>
                <w:color w:val="auto"/>
                <w:szCs w:val="21"/>
              </w:rPr>
            </w:pPr>
          </w:p>
        </w:tc>
        <w:tc>
          <w:tcPr>
            <w:tcW w:w="1642" w:type="dxa"/>
            <w:noWrap/>
          </w:tcPr>
          <w:p w14:paraId="3C73474B">
            <w:pPr>
              <w:spacing w:line="360" w:lineRule="auto"/>
              <w:rPr>
                <w:rFonts w:ascii="宋体" w:hAnsi="宋体" w:cs="宋体"/>
                <w:color w:val="auto"/>
                <w:szCs w:val="21"/>
              </w:rPr>
            </w:pPr>
          </w:p>
        </w:tc>
        <w:tc>
          <w:tcPr>
            <w:tcW w:w="1643" w:type="dxa"/>
            <w:noWrap/>
          </w:tcPr>
          <w:p w14:paraId="3E3AC039">
            <w:pPr>
              <w:spacing w:line="360" w:lineRule="auto"/>
              <w:rPr>
                <w:rFonts w:ascii="宋体" w:hAnsi="宋体" w:cs="宋体"/>
                <w:color w:val="auto"/>
                <w:szCs w:val="21"/>
              </w:rPr>
            </w:pPr>
          </w:p>
        </w:tc>
        <w:tc>
          <w:tcPr>
            <w:tcW w:w="1643" w:type="dxa"/>
            <w:noWrap/>
          </w:tcPr>
          <w:p w14:paraId="00902753">
            <w:pPr>
              <w:spacing w:line="360" w:lineRule="auto"/>
              <w:rPr>
                <w:rFonts w:ascii="宋体" w:hAnsi="宋体" w:cs="宋体"/>
                <w:color w:val="auto"/>
                <w:szCs w:val="21"/>
              </w:rPr>
            </w:pPr>
          </w:p>
        </w:tc>
      </w:tr>
      <w:tr w14:paraId="7F03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tcPr>
          <w:p w14:paraId="34FD91DB">
            <w:pPr>
              <w:spacing w:line="360" w:lineRule="auto"/>
              <w:rPr>
                <w:rFonts w:ascii="宋体" w:hAnsi="宋体" w:cs="宋体"/>
                <w:color w:val="auto"/>
                <w:szCs w:val="21"/>
              </w:rPr>
            </w:pPr>
          </w:p>
        </w:tc>
        <w:tc>
          <w:tcPr>
            <w:tcW w:w="2325" w:type="dxa"/>
            <w:noWrap/>
            <w:vAlign w:val="center"/>
          </w:tcPr>
          <w:p w14:paraId="60C44709">
            <w:pPr>
              <w:spacing w:line="360" w:lineRule="auto"/>
              <w:jc w:val="center"/>
              <w:rPr>
                <w:rFonts w:ascii="宋体" w:hAnsi="宋体" w:cs="宋体"/>
                <w:color w:val="auto"/>
                <w:szCs w:val="21"/>
              </w:rPr>
            </w:pPr>
            <w:r>
              <w:rPr>
                <w:rFonts w:hint="eastAsia" w:ascii="宋体" w:hAnsi="宋体" w:cs="宋体"/>
                <w:color w:val="auto"/>
                <w:szCs w:val="21"/>
              </w:rPr>
              <w:t>服务标准</w:t>
            </w:r>
          </w:p>
        </w:tc>
        <w:tc>
          <w:tcPr>
            <w:tcW w:w="1642" w:type="dxa"/>
            <w:noWrap/>
          </w:tcPr>
          <w:p w14:paraId="1CD244E4">
            <w:pPr>
              <w:spacing w:line="360" w:lineRule="auto"/>
              <w:rPr>
                <w:rFonts w:ascii="宋体" w:hAnsi="宋体" w:cs="宋体"/>
                <w:color w:val="auto"/>
                <w:szCs w:val="21"/>
              </w:rPr>
            </w:pPr>
          </w:p>
        </w:tc>
        <w:tc>
          <w:tcPr>
            <w:tcW w:w="1642" w:type="dxa"/>
            <w:noWrap/>
          </w:tcPr>
          <w:p w14:paraId="4DEA5B28">
            <w:pPr>
              <w:spacing w:line="360" w:lineRule="auto"/>
              <w:rPr>
                <w:rFonts w:ascii="宋体" w:hAnsi="宋体" w:cs="宋体"/>
                <w:color w:val="auto"/>
                <w:szCs w:val="21"/>
              </w:rPr>
            </w:pPr>
          </w:p>
        </w:tc>
        <w:tc>
          <w:tcPr>
            <w:tcW w:w="1643" w:type="dxa"/>
            <w:noWrap/>
          </w:tcPr>
          <w:p w14:paraId="722109E4">
            <w:pPr>
              <w:spacing w:line="360" w:lineRule="auto"/>
              <w:rPr>
                <w:rFonts w:ascii="宋体" w:hAnsi="宋体" w:cs="宋体"/>
                <w:color w:val="auto"/>
                <w:szCs w:val="21"/>
              </w:rPr>
            </w:pPr>
          </w:p>
        </w:tc>
        <w:tc>
          <w:tcPr>
            <w:tcW w:w="1643" w:type="dxa"/>
            <w:noWrap/>
          </w:tcPr>
          <w:p w14:paraId="4788D74C">
            <w:pPr>
              <w:spacing w:line="360" w:lineRule="auto"/>
              <w:rPr>
                <w:rFonts w:ascii="宋体" w:hAnsi="宋体" w:cs="宋体"/>
                <w:color w:val="auto"/>
                <w:szCs w:val="21"/>
              </w:rPr>
            </w:pPr>
          </w:p>
        </w:tc>
      </w:tr>
      <w:tr w14:paraId="37DA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tcPr>
          <w:p w14:paraId="7A89421F">
            <w:pPr>
              <w:spacing w:line="360" w:lineRule="auto"/>
              <w:rPr>
                <w:rFonts w:ascii="宋体" w:hAnsi="宋体" w:cs="宋体"/>
                <w:color w:val="auto"/>
                <w:szCs w:val="21"/>
              </w:rPr>
            </w:pPr>
          </w:p>
        </w:tc>
        <w:tc>
          <w:tcPr>
            <w:tcW w:w="2325" w:type="dxa"/>
            <w:noWrap/>
            <w:vAlign w:val="center"/>
          </w:tcPr>
          <w:p w14:paraId="648706CD">
            <w:pPr>
              <w:spacing w:line="360" w:lineRule="auto"/>
              <w:jc w:val="center"/>
              <w:rPr>
                <w:rFonts w:ascii="宋体" w:hAnsi="宋体" w:cs="宋体"/>
                <w:color w:val="auto"/>
                <w:szCs w:val="21"/>
              </w:rPr>
            </w:pPr>
            <w:r>
              <w:rPr>
                <w:rFonts w:hint="eastAsia" w:ascii="宋体" w:hAnsi="宋体" w:cs="宋体"/>
                <w:color w:val="auto"/>
                <w:szCs w:val="21"/>
              </w:rPr>
              <w:t>付款方式</w:t>
            </w:r>
          </w:p>
        </w:tc>
        <w:tc>
          <w:tcPr>
            <w:tcW w:w="1642" w:type="dxa"/>
            <w:noWrap/>
          </w:tcPr>
          <w:p w14:paraId="3EF0EC03">
            <w:pPr>
              <w:spacing w:line="360" w:lineRule="auto"/>
              <w:rPr>
                <w:rFonts w:ascii="宋体" w:hAnsi="宋体" w:cs="宋体"/>
                <w:color w:val="auto"/>
                <w:szCs w:val="21"/>
              </w:rPr>
            </w:pPr>
          </w:p>
        </w:tc>
        <w:tc>
          <w:tcPr>
            <w:tcW w:w="1642" w:type="dxa"/>
            <w:noWrap/>
          </w:tcPr>
          <w:p w14:paraId="13DC9EDA">
            <w:pPr>
              <w:spacing w:line="360" w:lineRule="auto"/>
              <w:rPr>
                <w:rFonts w:ascii="宋体" w:hAnsi="宋体" w:cs="宋体"/>
                <w:color w:val="auto"/>
                <w:szCs w:val="21"/>
              </w:rPr>
            </w:pPr>
          </w:p>
        </w:tc>
        <w:tc>
          <w:tcPr>
            <w:tcW w:w="1643" w:type="dxa"/>
            <w:noWrap/>
          </w:tcPr>
          <w:p w14:paraId="2BB71BE1">
            <w:pPr>
              <w:spacing w:line="360" w:lineRule="auto"/>
              <w:rPr>
                <w:rFonts w:ascii="宋体" w:hAnsi="宋体" w:cs="宋体"/>
                <w:color w:val="auto"/>
                <w:szCs w:val="21"/>
              </w:rPr>
            </w:pPr>
          </w:p>
        </w:tc>
        <w:tc>
          <w:tcPr>
            <w:tcW w:w="1643" w:type="dxa"/>
            <w:noWrap/>
          </w:tcPr>
          <w:p w14:paraId="4A95532B">
            <w:pPr>
              <w:spacing w:line="360" w:lineRule="auto"/>
              <w:rPr>
                <w:rFonts w:ascii="宋体" w:hAnsi="宋体" w:cs="宋体"/>
                <w:color w:val="auto"/>
                <w:szCs w:val="21"/>
              </w:rPr>
            </w:pPr>
          </w:p>
        </w:tc>
      </w:tr>
      <w:tr w14:paraId="27C1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tcPr>
          <w:p w14:paraId="75111FE9">
            <w:pPr>
              <w:spacing w:line="360" w:lineRule="auto"/>
              <w:rPr>
                <w:rFonts w:ascii="宋体" w:hAnsi="宋体" w:cs="宋体"/>
                <w:color w:val="auto"/>
                <w:szCs w:val="21"/>
              </w:rPr>
            </w:pPr>
          </w:p>
        </w:tc>
        <w:tc>
          <w:tcPr>
            <w:tcW w:w="2325" w:type="dxa"/>
            <w:noWrap/>
            <w:vAlign w:val="center"/>
          </w:tcPr>
          <w:p w14:paraId="062199AF">
            <w:pPr>
              <w:spacing w:line="360" w:lineRule="auto"/>
              <w:jc w:val="center"/>
              <w:rPr>
                <w:rFonts w:ascii="宋体" w:hAnsi="宋体" w:cs="宋体"/>
                <w:color w:val="auto"/>
                <w:szCs w:val="21"/>
              </w:rPr>
            </w:pPr>
            <w:r>
              <w:rPr>
                <w:rFonts w:hint="eastAsia" w:ascii="宋体" w:hAnsi="宋体" w:cs="宋体"/>
                <w:color w:val="auto"/>
                <w:szCs w:val="21"/>
              </w:rPr>
              <w:t xml:space="preserve">……    </w:t>
            </w:r>
          </w:p>
        </w:tc>
        <w:tc>
          <w:tcPr>
            <w:tcW w:w="1642" w:type="dxa"/>
            <w:noWrap/>
          </w:tcPr>
          <w:p w14:paraId="754E67E2">
            <w:pPr>
              <w:spacing w:line="360" w:lineRule="auto"/>
              <w:rPr>
                <w:rFonts w:ascii="宋体" w:hAnsi="宋体" w:cs="宋体"/>
                <w:color w:val="auto"/>
                <w:szCs w:val="21"/>
              </w:rPr>
            </w:pPr>
          </w:p>
        </w:tc>
        <w:tc>
          <w:tcPr>
            <w:tcW w:w="1642" w:type="dxa"/>
            <w:noWrap/>
          </w:tcPr>
          <w:p w14:paraId="62A5BBB0">
            <w:pPr>
              <w:spacing w:line="360" w:lineRule="auto"/>
              <w:rPr>
                <w:rFonts w:ascii="宋体" w:hAnsi="宋体" w:cs="宋体"/>
                <w:color w:val="auto"/>
                <w:szCs w:val="21"/>
              </w:rPr>
            </w:pPr>
          </w:p>
        </w:tc>
        <w:tc>
          <w:tcPr>
            <w:tcW w:w="1643" w:type="dxa"/>
            <w:noWrap/>
          </w:tcPr>
          <w:p w14:paraId="20E08FB9">
            <w:pPr>
              <w:spacing w:line="360" w:lineRule="auto"/>
              <w:rPr>
                <w:rFonts w:ascii="宋体" w:hAnsi="宋体" w:cs="宋体"/>
                <w:color w:val="auto"/>
                <w:szCs w:val="21"/>
              </w:rPr>
            </w:pPr>
          </w:p>
        </w:tc>
        <w:tc>
          <w:tcPr>
            <w:tcW w:w="1643" w:type="dxa"/>
            <w:noWrap/>
          </w:tcPr>
          <w:p w14:paraId="36977C95">
            <w:pPr>
              <w:spacing w:line="360" w:lineRule="auto"/>
              <w:rPr>
                <w:rFonts w:ascii="宋体" w:hAnsi="宋体" w:cs="宋体"/>
                <w:color w:val="auto"/>
                <w:szCs w:val="21"/>
              </w:rPr>
            </w:pPr>
          </w:p>
        </w:tc>
      </w:tr>
    </w:tbl>
    <w:p w14:paraId="4FCC8456">
      <w:pPr>
        <w:spacing w:line="360" w:lineRule="auto"/>
        <w:rPr>
          <w:rFonts w:ascii="宋体" w:hAnsi="宋体" w:cs="宋体"/>
          <w:bCs/>
          <w:color w:val="auto"/>
          <w:szCs w:val="21"/>
        </w:rPr>
      </w:pPr>
      <w:r>
        <w:rPr>
          <w:rFonts w:hint="eastAsia" w:ascii="宋体" w:hAnsi="宋体" w:cs="宋体"/>
          <w:bCs/>
          <w:color w:val="auto"/>
          <w:szCs w:val="21"/>
        </w:rPr>
        <w:t>法定代表人或授权代表（签字或盖章）：</w:t>
      </w:r>
    </w:p>
    <w:p w14:paraId="474C60B7">
      <w:pPr>
        <w:spacing w:line="360" w:lineRule="auto"/>
        <w:rPr>
          <w:rFonts w:ascii="宋体" w:hAnsi="宋体" w:cs="宋体"/>
          <w:bCs/>
          <w:color w:val="auto"/>
          <w:szCs w:val="21"/>
        </w:rPr>
      </w:pPr>
      <w:r>
        <w:rPr>
          <w:rFonts w:hint="eastAsia" w:ascii="宋体" w:hAnsi="宋体" w:cs="宋体"/>
          <w:bCs/>
          <w:color w:val="auto"/>
          <w:szCs w:val="21"/>
        </w:rPr>
        <w:t>磋商供应商全称（盖章）：</w:t>
      </w:r>
    </w:p>
    <w:p w14:paraId="6F77BB45">
      <w:pPr>
        <w:spacing w:line="360" w:lineRule="auto"/>
        <w:rPr>
          <w:rFonts w:ascii="宋体" w:hAnsi="宋体" w:cs="宋体"/>
          <w:bCs/>
          <w:color w:val="auto"/>
          <w:szCs w:val="21"/>
        </w:rPr>
      </w:pPr>
      <w:r>
        <w:rPr>
          <w:rFonts w:hint="eastAsia" w:ascii="宋体" w:hAnsi="宋体" w:cs="宋体"/>
          <w:bCs/>
          <w:color w:val="auto"/>
          <w:szCs w:val="21"/>
        </w:rPr>
        <w:t>日   期：  年   月  日</w:t>
      </w:r>
    </w:p>
    <w:p w14:paraId="4B8B8197">
      <w:pPr>
        <w:spacing w:line="360" w:lineRule="auto"/>
        <w:rPr>
          <w:rFonts w:ascii="宋体" w:hAnsi="宋体" w:cs="宋体"/>
          <w:b/>
          <w:color w:val="auto"/>
          <w:szCs w:val="21"/>
        </w:rPr>
      </w:pPr>
    </w:p>
    <w:p w14:paraId="0F88CD1C">
      <w:pPr>
        <w:spacing w:line="360" w:lineRule="auto"/>
        <w:rPr>
          <w:rFonts w:ascii="宋体" w:hAnsi="宋体" w:cs="宋体"/>
          <w:color w:val="auto"/>
          <w:szCs w:val="21"/>
        </w:rPr>
      </w:pPr>
      <w:r>
        <w:rPr>
          <w:rFonts w:hint="eastAsia" w:ascii="宋体" w:hAnsi="宋体" w:cs="宋体"/>
          <w:color w:val="auto"/>
          <w:szCs w:val="21"/>
        </w:rPr>
        <w:t>备注：</w:t>
      </w:r>
    </w:p>
    <w:p w14:paraId="6391956B">
      <w:pPr>
        <w:spacing w:line="360" w:lineRule="auto"/>
        <w:rPr>
          <w:rFonts w:ascii="宋体" w:hAnsi="宋体" w:cs="宋体"/>
          <w:color w:val="auto"/>
          <w:szCs w:val="21"/>
        </w:rPr>
      </w:pPr>
      <w:r>
        <w:rPr>
          <w:rFonts w:hint="eastAsia" w:ascii="宋体" w:hAnsi="宋体" w:cs="宋体"/>
          <w:color w:val="auto"/>
          <w:szCs w:val="21"/>
        </w:rPr>
        <w:t>1.供应商应按照磋商文件中要求的技术要求指标逐项、详细、真实的填写。行数不够可以添加，有具体参数的应填写详细参数，否则该响应文件可能被拒绝。</w:t>
      </w:r>
    </w:p>
    <w:p w14:paraId="56D47255">
      <w:pPr>
        <w:spacing w:line="360" w:lineRule="auto"/>
        <w:jc w:val="center"/>
        <w:rPr>
          <w:rFonts w:ascii="宋体" w:hAnsi="宋体" w:cs="宋体"/>
          <w:b/>
          <w:color w:val="auto"/>
          <w:sz w:val="24"/>
        </w:rPr>
      </w:pPr>
    </w:p>
    <w:p w14:paraId="498EA942">
      <w:pPr>
        <w:rPr>
          <w:rFonts w:ascii="宋体" w:hAnsi="宋体" w:cs="宋体"/>
          <w:b/>
          <w:color w:val="auto"/>
          <w:sz w:val="24"/>
        </w:rPr>
      </w:pPr>
      <w:r>
        <w:rPr>
          <w:rFonts w:hint="eastAsia" w:ascii="宋体" w:hAnsi="宋体" w:cs="宋体"/>
          <w:b/>
          <w:color w:val="auto"/>
          <w:sz w:val="24"/>
        </w:rPr>
        <w:br w:type="page"/>
      </w:r>
    </w:p>
    <w:p w14:paraId="473AC8B5">
      <w:pPr>
        <w:spacing w:line="360" w:lineRule="auto"/>
        <w:jc w:val="center"/>
        <w:rPr>
          <w:rFonts w:ascii="宋体" w:hAnsi="宋体" w:cs="宋体"/>
          <w:b/>
          <w:color w:val="auto"/>
          <w:sz w:val="24"/>
        </w:rPr>
      </w:pPr>
      <w:r>
        <w:rPr>
          <w:rFonts w:hint="eastAsia" w:ascii="宋体" w:hAnsi="宋体" w:cs="宋体"/>
          <w:b/>
          <w:color w:val="auto"/>
          <w:sz w:val="24"/>
        </w:rPr>
        <w:t>八、人员一览表</w:t>
      </w:r>
    </w:p>
    <w:p w14:paraId="5D9225BF">
      <w:pPr>
        <w:pStyle w:val="16"/>
        <w:spacing w:line="360" w:lineRule="auto"/>
        <w:rPr>
          <w:rFonts w:ascii="宋体" w:hAnsi="宋体" w:cs="宋体"/>
          <w:color w:val="auto"/>
          <w:sz w:val="21"/>
          <w:szCs w:val="21"/>
        </w:rPr>
      </w:pPr>
      <w:r>
        <w:rPr>
          <w:rFonts w:hint="eastAsia" w:ascii="宋体" w:hAnsi="宋体" w:cs="宋体"/>
          <w:color w:val="auto"/>
          <w:sz w:val="21"/>
          <w:szCs w:val="21"/>
        </w:rPr>
        <w:t>项目名称：</w:t>
      </w:r>
    </w:p>
    <w:p w14:paraId="06BD61BD">
      <w:pPr>
        <w:spacing w:line="360" w:lineRule="auto"/>
        <w:rPr>
          <w:rFonts w:ascii="宋体" w:hAnsi="宋体" w:cs="宋体"/>
          <w:color w:val="auto"/>
          <w:szCs w:val="21"/>
        </w:rPr>
      </w:pPr>
      <w:r>
        <w:rPr>
          <w:rFonts w:hint="eastAsia" w:ascii="宋体" w:hAnsi="宋体" w:cs="宋体"/>
          <w:color w:val="auto"/>
          <w:szCs w:val="21"/>
        </w:rPr>
        <w:t>项目编号：</w:t>
      </w:r>
    </w:p>
    <w:tbl>
      <w:tblPr>
        <w:tblStyle w:val="30"/>
        <w:tblW w:w="5089"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0"/>
        <w:gridCol w:w="1069"/>
        <w:gridCol w:w="968"/>
        <w:gridCol w:w="1879"/>
        <w:gridCol w:w="968"/>
        <w:gridCol w:w="968"/>
        <w:gridCol w:w="968"/>
        <w:gridCol w:w="816"/>
        <w:gridCol w:w="1529"/>
      </w:tblGrid>
      <w:tr w14:paraId="32D12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5" w:hRule="atLeast"/>
        </w:trPr>
        <w:tc>
          <w:tcPr>
            <w:tcW w:w="970" w:type="dxa"/>
            <w:noWrap/>
            <w:vAlign w:val="center"/>
          </w:tcPr>
          <w:p w14:paraId="5229C675">
            <w:pPr>
              <w:jc w:val="center"/>
              <w:rPr>
                <w:color w:val="auto"/>
                <w:szCs w:val="21"/>
              </w:rPr>
            </w:pPr>
            <w:r>
              <w:rPr>
                <w:rFonts w:hint="eastAsia"/>
                <w:color w:val="auto"/>
                <w:szCs w:val="21"/>
              </w:rPr>
              <w:t>序号</w:t>
            </w:r>
          </w:p>
        </w:tc>
        <w:tc>
          <w:tcPr>
            <w:tcW w:w="1069" w:type="dxa"/>
            <w:noWrap/>
            <w:vAlign w:val="center"/>
          </w:tcPr>
          <w:p w14:paraId="3EB5529B">
            <w:pPr>
              <w:jc w:val="center"/>
              <w:rPr>
                <w:color w:val="auto"/>
                <w:szCs w:val="21"/>
              </w:rPr>
            </w:pPr>
            <w:r>
              <w:rPr>
                <w:rFonts w:hint="eastAsia"/>
                <w:color w:val="auto"/>
                <w:szCs w:val="21"/>
              </w:rPr>
              <w:t>姓名</w:t>
            </w:r>
          </w:p>
        </w:tc>
        <w:tc>
          <w:tcPr>
            <w:tcW w:w="968" w:type="dxa"/>
            <w:noWrap/>
            <w:vAlign w:val="center"/>
          </w:tcPr>
          <w:p w14:paraId="525CD3C0">
            <w:pPr>
              <w:jc w:val="center"/>
              <w:rPr>
                <w:color w:val="auto"/>
                <w:szCs w:val="21"/>
              </w:rPr>
            </w:pPr>
            <w:r>
              <w:rPr>
                <w:rFonts w:hint="eastAsia"/>
                <w:color w:val="auto"/>
                <w:szCs w:val="21"/>
              </w:rPr>
              <w:t>岗位</w:t>
            </w:r>
          </w:p>
        </w:tc>
        <w:tc>
          <w:tcPr>
            <w:tcW w:w="1879" w:type="dxa"/>
            <w:noWrap/>
            <w:vAlign w:val="center"/>
          </w:tcPr>
          <w:p w14:paraId="2FEF2B9E">
            <w:pPr>
              <w:jc w:val="center"/>
              <w:rPr>
                <w:color w:val="auto"/>
                <w:szCs w:val="21"/>
              </w:rPr>
            </w:pPr>
            <w:r>
              <w:rPr>
                <w:rFonts w:hint="eastAsia"/>
                <w:color w:val="auto"/>
                <w:szCs w:val="21"/>
              </w:rPr>
              <w:t>身份证号码</w:t>
            </w:r>
          </w:p>
        </w:tc>
        <w:tc>
          <w:tcPr>
            <w:tcW w:w="968" w:type="dxa"/>
            <w:noWrap/>
            <w:vAlign w:val="center"/>
          </w:tcPr>
          <w:p w14:paraId="40ACB76C">
            <w:pPr>
              <w:jc w:val="center"/>
              <w:rPr>
                <w:color w:val="auto"/>
                <w:szCs w:val="21"/>
              </w:rPr>
            </w:pPr>
            <w:r>
              <w:rPr>
                <w:rFonts w:hint="eastAsia"/>
                <w:color w:val="auto"/>
                <w:szCs w:val="21"/>
              </w:rPr>
              <w:t>年龄</w:t>
            </w:r>
          </w:p>
        </w:tc>
        <w:tc>
          <w:tcPr>
            <w:tcW w:w="968" w:type="dxa"/>
            <w:noWrap/>
            <w:vAlign w:val="center"/>
          </w:tcPr>
          <w:p w14:paraId="7D46214C">
            <w:pPr>
              <w:jc w:val="center"/>
              <w:rPr>
                <w:color w:val="auto"/>
                <w:szCs w:val="21"/>
              </w:rPr>
            </w:pPr>
            <w:r>
              <w:rPr>
                <w:rFonts w:hint="eastAsia"/>
                <w:color w:val="auto"/>
                <w:szCs w:val="21"/>
              </w:rPr>
              <w:t>性别</w:t>
            </w:r>
          </w:p>
        </w:tc>
        <w:tc>
          <w:tcPr>
            <w:tcW w:w="968" w:type="dxa"/>
            <w:noWrap/>
            <w:vAlign w:val="center"/>
          </w:tcPr>
          <w:p w14:paraId="4F1C97DB">
            <w:pPr>
              <w:jc w:val="center"/>
              <w:rPr>
                <w:color w:val="auto"/>
                <w:szCs w:val="21"/>
              </w:rPr>
            </w:pPr>
            <w:r>
              <w:rPr>
                <w:rFonts w:hint="eastAsia"/>
                <w:color w:val="auto"/>
                <w:szCs w:val="21"/>
              </w:rPr>
              <w:t>专业</w:t>
            </w:r>
          </w:p>
        </w:tc>
        <w:tc>
          <w:tcPr>
            <w:tcW w:w="816" w:type="dxa"/>
            <w:noWrap/>
            <w:vAlign w:val="center"/>
          </w:tcPr>
          <w:p w14:paraId="0FA8C4B1">
            <w:pPr>
              <w:jc w:val="center"/>
              <w:rPr>
                <w:color w:val="auto"/>
                <w:szCs w:val="21"/>
              </w:rPr>
            </w:pPr>
            <w:r>
              <w:rPr>
                <w:rFonts w:hint="eastAsia"/>
                <w:color w:val="auto"/>
                <w:szCs w:val="21"/>
              </w:rPr>
              <w:t>职称</w:t>
            </w:r>
          </w:p>
        </w:tc>
        <w:tc>
          <w:tcPr>
            <w:tcW w:w="1529" w:type="dxa"/>
            <w:noWrap/>
            <w:vAlign w:val="center"/>
          </w:tcPr>
          <w:p w14:paraId="01BA4EC4">
            <w:pPr>
              <w:jc w:val="center"/>
              <w:rPr>
                <w:color w:val="auto"/>
                <w:szCs w:val="21"/>
              </w:rPr>
            </w:pPr>
            <w:r>
              <w:rPr>
                <w:rFonts w:hint="eastAsia"/>
                <w:color w:val="auto"/>
                <w:szCs w:val="21"/>
              </w:rPr>
              <w:t>证书及编号</w:t>
            </w:r>
          </w:p>
        </w:tc>
      </w:tr>
      <w:tr w14:paraId="0EA0F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5" w:hRule="atLeast"/>
        </w:trPr>
        <w:tc>
          <w:tcPr>
            <w:tcW w:w="970" w:type="dxa"/>
            <w:noWrap/>
            <w:vAlign w:val="center"/>
          </w:tcPr>
          <w:p w14:paraId="4D6608CF">
            <w:pPr>
              <w:jc w:val="center"/>
              <w:rPr>
                <w:color w:val="auto"/>
                <w:szCs w:val="21"/>
              </w:rPr>
            </w:pPr>
            <w:r>
              <w:rPr>
                <w:rFonts w:hint="eastAsia"/>
                <w:color w:val="auto"/>
                <w:szCs w:val="21"/>
              </w:rPr>
              <w:t>1</w:t>
            </w:r>
          </w:p>
        </w:tc>
        <w:tc>
          <w:tcPr>
            <w:tcW w:w="1069" w:type="dxa"/>
            <w:noWrap/>
            <w:vAlign w:val="center"/>
          </w:tcPr>
          <w:p w14:paraId="272FF2FA">
            <w:pPr>
              <w:jc w:val="center"/>
              <w:rPr>
                <w:color w:val="auto"/>
                <w:szCs w:val="21"/>
              </w:rPr>
            </w:pPr>
          </w:p>
        </w:tc>
        <w:tc>
          <w:tcPr>
            <w:tcW w:w="968" w:type="dxa"/>
            <w:noWrap/>
            <w:vAlign w:val="center"/>
          </w:tcPr>
          <w:p w14:paraId="647B5768">
            <w:pPr>
              <w:jc w:val="center"/>
              <w:rPr>
                <w:color w:val="auto"/>
                <w:szCs w:val="21"/>
              </w:rPr>
            </w:pPr>
          </w:p>
        </w:tc>
        <w:tc>
          <w:tcPr>
            <w:tcW w:w="1879" w:type="dxa"/>
            <w:noWrap/>
            <w:vAlign w:val="center"/>
          </w:tcPr>
          <w:p w14:paraId="3031330D">
            <w:pPr>
              <w:jc w:val="center"/>
              <w:rPr>
                <w:color w:val="auto"/>
                <w:szCs w:val="21"/>
              </w:rPr>
            </w:pPr>
          </w:p>
        </w:tc>
        <w:tc>
          <w:tcPr>
            <w:tcW w:w="968" w:type="dxa"/>
            <w:noWrap/>
            <w:vAlign w:val="center"/>
          </w:tcPr>
          <w:p w14:paraId="0E5BF522">
            <w:pPr>
              <w:jc w:val="center"/>
              <w:rPr>
                <w:color w:val="auto"/>
                <w:szCs w:val="21"/>
              </w:rPr>
            </w:pPr>
          </w:p>
        </w:tc>
        <w:tc>
          <w:tcPr>
            <w:tcW w:w="968" w:type="dxa"/>
            <w:noWrap/>
            <w:vAlign w:val="center"/>
          </w:tcPr>
          <w:p w14:paraId="48CC9D02">
            <w:pPr>
              <w:jc w:val="center"/>
              <w:rPr>
                <w:color w:val="auto"/>
                <w:szCs w:val="21"/>
              </w:rPr>
            </w:pPr>
          </w:p>
        </w:tc>
        <w:tc>
          <w:tcPr>
            <w:tcW w:w="968" w:type="dxa"/>
            <w:noWrap/>
            <w:vAlign w:val="center"/>
          </w:tcPr>
          <w:p w14:paraId="1B49845A">
            <w:pPr>
              <w:jc w:val="center"/>
              <w:rPr>
                <w:color w:val="auto"/>
                <w:szCs w:val="21"/>
              </w:rPr>
            </w:pPr>
          </w:p>
        </w:tc>
        <w:tc>
          <w:tcPr>
            <w:tcW w:w="816" w:type="dxa"/>
            <w:noWrap/>
            <w:vAlign w:val="center"/>
          </w:tcPr>
          <w:p w14:paraId="39B045F0">
            <w:pPr>
              <w:jc w:val="center"/>
              <w:rPr>
                <w:color w:val="auto"/>
                <w:szCs w:val="21"/>
              </w:rPr>
            </w:pPr>
          </w:p>
        </w:tc>
        <w:tc>
          <w:tcPr>
            <w:tcW w:w="1529" w:type="dxa"/>
            <w:noWrap/>
          </w:tcPr>
          <w:p w14:paraId="600D229C">
            <w:pPr>
              <w:jc w:val="center"/>
              <w:rPr>
                <w:color w:val="auto"/>
                <w:szCs w:val="21"/>
              </w:rPr>
            </w:pPr>
          </w:p>
        </w:tc>
      </w:tr>
      <w:tr w14:paraId="2F09C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6" w:hRule="atLeast"/>
        </w:trPr>
        <w:tc>
          <w:tcPr>
            <w:tcW w:w="970" w:type="dxa"/>
            <w:noWrap/>
            <w:vAlign w:val="center"/>
          </w:tcPr>
          <w:p w14:paraId="2F866385">
            <w:pPr>
              <w:jc w:val="center"/>
              <w:rPr>
                <w:color w:val="auto"/>
                <w:szCs w:val="21"/>
              </w:rPr>
            </w:pPr>
            <w:r>
              <w:rPr>
                <w:rFonts w:hint="eastAsia"/>
                <w:color w:val="auto"/>
                <w:szCs w:val="21"/>
              </w:rPr>
              <w:t>…</w:t>
            </w:r>
          </w:p>
        </w:tc>
        <w:tc>
          <w:tcPr>
            <w:tcW w:w="1069" w:type="dxa"/>
            <w:noWrap/>
            <w:vAlign w:val="center"/>
          </w:tcPr>
          <w:p w14:paraId="0F1B5D6F">
            <w:pPr>
              <w:jc w:val="center"/>
              <w:rPr>
                <w:color w:val="auto"/>
                <w:szCs w:val="21"/>
              </w:rPr>
            </w:pPr>
          </w:p>
        </w:tc>
        <w:tc>
          <w:tcPr>
            <w:tcW w:w="968" w:type="dxa"/>
            <w:noWrap/>
            <w:vAlign w:val="center"/>
          </w:tcPr>
          <w:p w14:paraId="45DE1545">
            <w:pPr>
              <w:jc w:val="center"/>
              <w:rPr>
                <w:color w:val="auto"/>
                <w:szCs w:val="21"/>
              </w:rPr>
            </w:pPr>
          </w:p>
        </w:tc>
        <w:tc>
          <w:tcPr>
            <w:tcW w:w="1879" w:type="dxa"/>
            <w:noWrap/>
            <w:vAlign w:val="center"/>
          </w:tcPr>
          <w:p w14:paraId="0D7EFC1C">
            <w:pPr>
              <w:jc w:val="center"/>
              <w:rPr>
                <w:color w:val="auto"/>
                <w:szCs w:val="21"/>
              </w:rPr>
            </w:pPr>
          </w:p>
        </w:tc>
        <w:tc>
          <w:tcPr>
            <w:tcW w:w="968" w:type="dxa"/>
            <w:noWrap/>
            <w:vAlign w:val="center"/>
          </w:tcPr>
          <w:p w14:paraId="6BE88C36">
            <w:pPr>
              <w:jc w:val="center"/>
              <w:rPr>
                <w:color w:val="auto"/>
                <w:szCs w:val="21"/>
              </w:rPr>
            </w:pPr>
          </w:p>
        </w:tc>
        <w:tc>
          <w:tcPr>
            <w:tcW w:w="968" w:type="dxa"/>
            <w:noWrap/>
            <w:vAlign w:val="center"/>
          </w:tcPr>
          <w:p w14:paraId="0E817B03">
            <w:pPr>
              <w:jc w:val="center"/>
              <w:rPr>
                <w:color w:val="auto"/>
                <w:szCs w:val="21"/>
              </w:rPr>
            </w:pPr>
          </w:p>
        </w:tc>
        <w:tc>
          <w:tcPr>
            <w:tcW w:w="968" w:type="dxa"/>
            <w:noWrap/>
            <w:vAlign w:val="center"/>
          </w:tcPr>
          <w:p w14:paraId="24FDA2C6">
            <w:pPr>
              <w:jc w:val="center"/>
              <w:rPr>
                <w:color w:val="auto"/>
                <w:szCs w:val="21"/>
              </w:rPr>
            </w:pPr>
          </w:p>
        </w:tc>
        <w:tc>
          <w:tcPr>
            <w:tcW w:w="816" w:type="dxa"/>
            <w:noWrap/>
            <w:vAlign w:val="center"/>
          </w:tcPr>
          <w:p w14:paraId="05A66768">
            <w:pPr>
              <w:jc w:val="center"/>
              <w:rPr>
                <w:color w:val="auto"/>
                <w:szCs w:val="21"/>
              </w:rPr>
            </w:pPr>
          </w:p>
        </w:tc>
        <w:tc>
          <w:tcPr>
            <w:tcW w:w="1529" w:type="dxa"/>
            <w:noWrap/>
          </w:tcPr>
          <w:p w14:paraId="689FE970">
            <w:pPr>
              <w:jc w:val="center"/>
              <w:rPr>
                <w:color w:val="auto"/>
                <w:szCs w:val="21"/>
              </w:rPr>
            </w:pPr>
          </w:p>
        </w:tc>
      </w:tr>
    </w:tbl>
    <w:p w14:paraId="48E09723">
      <w:pPr>
        <w:spacing w:line="360" w:lineRule="auto"/>
        <w:rPr>
          <w:rFonts w:ascii="宋体" w:hAnsi="宋体" w:cs="宋体"/>
          <w:bCs/>
          <w:color w:val="auto"/>
          <w:szCs w:val="21"/>
        </w:rPr>
      </w:pPr>
      <w:r>
        <w:rPr>
          <w:rFonts w:hint="eastAsia" w:ascii="宋体" w:hAnsi="宋体" w:cs="宋体"/>
          <w:bCs/>
          <w:color w:val="auto"/>
          <w:szCs w:val="21"/>
        </w:rPr>
        <w:t>法定代表人或授权代表（签字或盖章）：</w:t>
      </w:r>
    </w:p>
    <w:p w14:paraId="04140297">
      <w:pPr>
        <w:spacing w:line="360" w:lineRule="auto"/>
        <w:rPr>
          <w:rFonts w:ascii="宋体" w:hAnsi="宋体" w:cs="宋体"/>
          <w:bCs/>
          <w:color w:val="auto"/>
          <w:szCs w:val="21"/>
        </w:rPr>
      </w:pPr>
      <w:r>
        <w:rPr>
          <w:rFonts w:hint="eastAsia" w:ascii="宋体" w:hAnsi="宋体" w:cs="宋体"/>
          <w:bCs/>
          <w:color w:val="auto"/>
          <w:szCs w:val="21"/>
        </w:rPr>
        <w:t>磋商供应商全称（盖章）：</w:t>
      </w:r>
    </w:p>
    <w:p w14:paraId="3704F5A2">
      <w:pPr>
        <w:spacing w:line="360" w:lineRule="auto"/>
        <w:rPr>
          <w:rFonts w:ascii="宋体" w:hAnsi="宋体" w:cs="宋体"/>
          <w:bCs/>
          <w:color w:val="auto"/>
          <w:szCs w:val="21"/>
        </w:rPr>
      </w:pPr>
      <w:r>
        <w:rPr>
          <w:rFonts w:hint="eastAsia" w:ascii="宋体" w:hAnsi="宋体" w:cs="宋体"/>
          <w:bCs/>
          <w:color w:val="auto"/>
          <w:szCs w:val="21"/>
        </w:rPr>
        <w:t>日   期：  年   月  日</w:t>
      </w:r>
    </w:p>
    <w:p w14:paraId="372895FC">
      <w:pPr>
        <w:spacing w:line="360" w:lineRule="auto"/>
        <w:jc w:val="center"/>
        <w:rPr>
          <w:rFonts w:ascii="宋体" w:hAnsi="宋体" w:cs="宋体"/>
          <w:b/>
          <w:color w:val="auto"/>
          <w:kern w:val="1"/>
          <w:szCs w:val="21"/>
        </w:rPr>
      </w:pPr>
      <w:r>
        <w:rPr>
          <w:rFonts w:hint="eastAsia" w:ascii="宋体" w:hAnsi="宋体" w:cs="宋体"/>
          <w:b/>
          <w:color w:val="auto"/>
          <w:sz w:val="24"/>
        </w:rPr>
        <w:t>九、其他</w:t>
      </w:r>
    </w:p>
    <w:p w14:paraId="79E8812F">
      <w:pPr>
        <w:spacing w:line="360" w:lineRule="auto"/>
        <w:jc w:val="center"/>
        <w:rPr>
          <w:rFonts w:ascii="宋体" w:hAnsi="宋体" w:cs="宋体"/>
          <w:color w:val="auto"/>
          <w:szCs w:val="21"/>
        </w:rPr>
      </w:pPr>
      <w:r>
        <w:rPr>
          <w:rFonts w:hint="eastAsia" w:ascii="宋体" w:hAnsi="宋体" w:cs="宋体"/>
          <w:color w:val="auto"/>
          <w:szCs w:val="21"/>
        </w:rPr>
        <w:t>（供应商根据评分标准自行编制）</w:t>
      </w:r>
    </w:p>
    <w:p w14:paraId="1EE8A500">
      <w:pPr>
        <w:spacing w:line="360" w:lineRule="auto"/>
        <w:jc w:val="center"/>
        <w:rPr>
          <w:rFonts w:ascii="宋体" w:hAnsi="宋体" w:cs="宋体"/>
          <w:b/>
          <w:color w:val="auto"/>
        </w:rPr>
      </w:pPr>
    </w:p>
    <w:p w14:paraId="188B96D6">
      <w:pPr>
        <w:spacing w:line="360" w:lineRule="auto"/>
        <w:jc w:val="center"/>
        <w:rPr>
          <w:rFonts w:ascii="宋体" w:hAnsi="宋体" w:cs="宋体"/>
          <w:b/>
          <w:color w:val="auto"/>
        </w:rPr>
      </w:pPr>
    </w:p>
    <w:p w14:paraId="30D292EF">
      <w:pPr>
        <w:spacing w:line="360" w:lineRule="auto"/>
        <w:jc w:val="center"/>
        <w:rPr>
          <w:rFonts w:ascii="宋体" w:hAnsi="宋体" w:cs="宋体"/>
          <w:b/>
          <w:color w:val="auto"/>
        </w:rPr>
      </w:pPr>
    </w:p>
    <w:p w14:paraId="06B78F0B">
      <w:pPr>
        <w:spacing w:line="360" w:lineRule="auto"/>
        <w:ind w:firstLine="482" w:firstLineChars="200"/>
        <w:jc w:val="center"/>
        <w:rPr>
          <w:rFonts w:ascii="宋体" w:hAnsi="宋体" w:cs="宋体"/>
          <w:b/>
          <w:color w:val="auto"/>
          <w:sz w:val="24"/>
        </w:rPr>
      </w:pPr>
      <w:r>
        <w:rPr>
          <w:rFonts w:hint="eastAsia" w:ascii="宋体" w:hAnsi="宋体" w:cs="宋体"/>
          <w:b/>
          <w:color w:val="auto"/>
          <w:sz w:val="24"/>
        </w:rPr>
        <w:t>十、主要标的信息</w:t>
      </w:r>
    </w:p>
    <w:p w14:paraId="0B008092">
      <w:pPr>
        <w:spacing w:line="360" w:lineRule="auto"/>
        <w:jc w:val="center"/>
        <w:rPr>
          <w:rFonts w:ascii="宋体" w:hAnsi="宋体" w:cs="宋体"/>
          <w:color w:val="auto"/>
          <w:szCs w:val="21"/>
        </w:rPr>
      </w:pPr>
      <w:r>
        <w:rPr>
          <w:rFonts w:hint="eastAsia" w:ascii="宋体" w:hAnsi="宋体" w:cs="宋体"/>
          <w:color w:val="auto"/>
          <w:szCs w:val="21"/>
        </w:rPr>
        <w:t>（成交后将公示）</w:t>
      </w:r>
    </w:p>
    <w:p w14:paraId="0B46B94A">
      <w:pPr>
        <w:spacing w:line="360" w:lineRule="auto"/>
        <w:rPr>
          <w:rFonts w:ascii="宋体" w:hAnsi="宋体" w:cs="宋体"/>
          <w:bCs/>
          <w:color w:val="auto"/>
          <w:szCs w:val="21"/>
        </w:rPr>
      </w:pPr>
      <w:r>
        <w:rPr>
          <w:rFonts w:hint="eastAsia" w:ascii="宋体" w:hAnsi="宋体" w:cs="宋体"/>
          <w:bCs/>
          <w:color w:val="auto"/>
          <w:szCs w:val="21"/>
        </w:rPr>
        <w:t>磋商供应商全称（盖章）：</w:t>
      </w:r>
    </w:p>
    <w:tbl>
      <w:tblPr>
        <w:tblStyle w:val="30"/>
        <w:tblW w:w="245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896"/>
      </w:tblGrid>
      <w:tr w14:paraId="746A2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trPr>
        <w:tc>
          <w:tcPr>
            <w:tcW w:w="5000" w:type="pct"/>
            <w:noWrap/>
            <w:vAlign w:val="center"/>
          </w:tcPr>
          <w:p w14:paraId="6172FC36">
            <w:pPr>
              <w:spacing w:line="360" w:lineRule="auto"/>
              <w:jc w:val="center"/>
              <w:rPr>
                <w:rFonts w:ascii="宋体" w:hAnsi="宋体" w:cs="宋体"/>
                <w:color w:val="auto"/>
              </w:rPr>
            </w:pPr>
            <w:r>
              <w:rPr>
                <w:rFonts w:hint="eastAsia" w:ascii="宋体" w:hAnsi="宋体" w:cs="宋体"/>
                <w:color w:val="auto"/>
              </w:rPr>
              <w:t>服务类</w:t>
            </w:r>
          </w:p>
        </w:tc>
      </w:tr>
      <w:tr w14:paraId="30F77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4" w:hRule="atLeast"/>
        </w:trPr>
        <w:tc>
          <w:tcPr>
            <w:tcW w:w="5000" w:type="pct"/>
            <w:noWrap/>
          </w:tcPr>
          <w:p w14:paraId="19DFA0E7">
            <w:pPr>
              <w:spacing w:line="360" w:lineRule="auto"/>
              <w:jc w:val="left"/>
              <w:rPr>
                <w:rFonts w:ascii="宋体" w:hAnsi="宋体" w:cs="宋体"/>
                <w:color w:val="auto"/>
              </w:rPr>
            </w:pPr>
            <w:r>
              <w:rPr>
                <w:rFonts w:hint="eastAsia" w:ascii="宋体" w:hAnsi="宋体" w:cs="宋体"/>
                <w:color w:val="auto"/>
              </w:rPr>
              <w:t>名称：</w:t>
            </w:r>
          </w:p>
          <w:p w14:paraId="4DF231BA">
            <w:pPr>
              <w:spacing w:line="360" w:lineRule="auto"/>
              <w:jc w:val="left"/>
              <w:rPr>
                <w:rFonts w:ascii="宋体" w:hAnsi="宋体" w:cs="宋体"/>
                <w:color w:val="auto"/>
              </w:rPr>
            </w:pPr>
            <w:r>
              <w:rPr>
                <w:rFonts w:hint="eastAsia" w:ascii="宋体" w:hAnsi="宋体" w:cs="宋体"/>
                <w:color w:val="auto"/>
              </w:rPr>
              <w:t>服务范围：</w:t>
            </w:r>
          </w:p>
          <w:p w14:paraId="3CD54124">
            <w:pPr>
              <w:spacing w:line="360" w:lineRule="auto"/>
              <w:jc w:val="left"/>
              <w:rPr>
                <w:rFonts w:ascii="宋体" w:hAnsi="宋体" w:cs="宋体"/>
                <w:color w:val="auto"/>
                <w:u w:val="single"/>
              </w:rPr>
            </w:pPr>
            <w:r>
              <w:rPr>
                <w:rFonts w:hint="eastAsia" w:ascii="宋体" w:hAnsi="宋体" w:cs="宋体"/>
                <w:color w:val="auto"/>
              </w:rPr>
              <w:t>服务要求：</w:t>
            </w:r>
          </w:p>
          <w:p w14:paraId="2C0D7261">
            <w:pPr>
              <w:spacing w:line="360" w:lineRule="auto"/>
              <w:jc w:val="left"/>
              <w:rPr>
                <w:rFonts w:ascii="宋体" w:hAnsi="宋体" w:cs="宋体"/>
                <w:color w:val="auto"/>
                <w:u w:val="single"/>
              </w:rPr>
            </w:pPr>
            <w:r>
              <w:rPr>
                <w:rFonts w:hint="eastAsia" w:ascii="宋体" w:hAnsi="宋体" w:cs="宋体"/>
                <w:color w:val="auto"/>
              </w:rPr>
              <w:t>服务时间：</w:t>
            </w:r>
          </w:p>
          <w:p w14:paraId="1CC13871">
            <w:pPr>
              <w:spacing w:line="360" w:lineRule="auto"/>
              <w:jc w:val="left"/>
              <w:rPr>
                <w:rFonts w:ascii="宋体" w:hAnsi="宋体" w:cs="宋体"/>
                <w:color w:val="auto"/>
              </w:rPr>
            </w:pPr>
            <w:r>
              <w:rPr>
                <w:rFonts w:hint="eastAsia" w:ascii="宋体" w:hAnsi="宋体" w:cs="宋体"/>
                <w:color w:val="auto"/>
              </w:rPr>
              <w:t>服务标准：</w:t>
            </w:r>
          </w:p>
        </w:tc>
      </w:tr>
    </w:tbl>
    <w:p w14:paraId="0BC3825E">
      <w:pPr>
        <w:spacing w:line="360" w:lineRule="auto"/>
        <w:jc w:val="center"/>
        <w:rPr>
          <w:rFonts w:ascii="宋体" w:hAnsi="宋体" w:cs="宋体"/>
          <w:color w:val="auto"/>
          <w:szCs w:val="21"/>
        </w:rPr>
      </w:pPr>
    </w:p>
    <w:p w14:paraId="6C765364">
      <w:pPr>
        <w:jc w:val="right"/>
        <w:rPr>
          <w:rFonts w:ascii="宋体" w:hAnsi="宋体" w:cs="宋体"/>
          <w:b/>
          <w:color w:val="auto"/>
          <w:sz w:val="24"/>
        </w:rPr>
      </w:pPr>
    </w:p>
    <w:p w14:paraId="3138C7D5">
      <w:pPr>
        <w:jc w:val="right"/>
        <w:rPr>
          <w:rFonts w:ascii="宋体" w:hAnsi="宋体" w:cs="宋体"/>
          <w:b/>
          <w:color w:val="auto"/>
          <w:sz w:val="24"/>
        </w:rPr>
      </w:pPr>
    </w:p>
    <w:p w14:paraId="4E56A605">
      <w:pPr>
        <w:jc w:val="right"/>
        <w:rPr>
          <w:rFonts w:ascii="宋体" w:hAnsi="宋体" w:cs="宋体"/>
          <w:b/>
          <w:color w:val="auto"/>
          <w:sz w:val="24"/>
        </w:rPr>
      </w:pPr>
    </w:p>
    <w:p w14:paraId="55E3A430">
      <w:pPr>
        <w:jc w:val="center"/>
        <w:rPr>
          <w:rFonts w:hint="eastAsia" w:ascii="宋体" w:hAnsi="宋体" w:eastAsia="宋体" w:cs="宋体"/>
          <w:color w:val="auto"/>
          <w:spacing w:val="-11"/>
          <w:sz w:val="28"/>
          <w:szCs w:val="28"/>
          <w:highlight w:val="none"/>
        </w:rPr>
      </w:pPr>
      <w:r>
        <w:rPr>
          <w:rFonts w:hint="eastAsia" w:ascii="宋体" w:hAnsi="宋体" w:eastAsia="宋体" w:cs="宋体"/>
          <w:b/>
          <w:color w:val="auto"/>
          <w:sz w:val="28"/>
          <w:szCs w:val="28"/>
          <w:highlight w:val="none"/>
        </w:rPr>
        <w:t>供应商参加磋商确认函</w:t>
      </w:r>
    </w:p>
    <w:p w14:paraId="446BE328">
      <w:pPr>
        <w:keepNext w:val="0"/>
        <w:keepLines w:val="0"/>
        <w:pageBreakBefore w:val="0"/>
        <w:widowControl w:val="0"/>
        <w:kinsoku/>
        <w:wordWrap/>
        <w:overflowPunct/>
        <w:topLinePunct w:val="0"/>
        <w:autoSpaceDE/>
        <w:autoSpaceDN/>
        <w:bidi w:val="0"/>
        <w:adjustRightInd/>
        <w:snapToGrid/>
        <w:spacing w:line="360" w:lineRule="auto"/>
        <w:ind w:left="0" w:leftChars="0" w:firstLine="516" w:firstLineChars="200"/>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pacing w:val="-11"/>
          <w:sz w:val="28"/>
          <w:szCs w:val="28"/>
          <w:highlight w:val="none"/>
          <w:u w:val="single"/>
        </w:rPr>
        <w:t>江苏苏维工程管理有限公司</w:t>
      </w:r>
      <w:r>
        <w:rPr>
          <w:rFonts w:hint="eastAsia" w:ascii="宋体" w:hAnsi="宋体" w:eastAsia="宋体" w:cs="宋体"/>
          <w:color w:val="auto"/>
          <w:sz w:val="28"/>
          <w:szCs w:val="28"/>
          <w:highlight w:val="none"/>
          <w:u w:val="single"/>
        </w:rPr>
        <w:t>：</w:t>
      </w:r>
    </w:p>
    <w:p w14:paraId="447EC6A2">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本单位将参加贵公司于</w:t>
      </w:r>
      <w:r>
        <w:rPr>
          <w:rFonts w:hint="eastAsia" w:ascii="宋体" w:hAnsi="宋体" w:eastAsia="宋体" w:cs="宋体"/>
          <w:color w:val="auto"/>
          <w:sz w:val="28"/>
          <w:szCs w:val="28"/>
          <w:highlight w:val="none"/>
          <w:u w:val="single"/>
          <w:lang w:val="en-US" w:eastAsia="zh-CN"/>
        </w:rPr>
        <w:t>2026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日开标的采购编号</w:t>
      </w:r>
      <w:r>
        <w:rPr>
          <w:rFonts w:hint="eastAsia" w:ascii="宋体" w:hAnsi="宋体" w:eastAsia="宋体" w:cs="宋体"/>
          <w:color w:val="auto"/>
          <w:sz w:val="28"/>
          <w:szCs w:val="28"/>
          <w:highlight w:val="none"/>
          <w:u w:val="single"/>
        </w:rPr>
        <w:t>YDFYSW-20260701号</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项目的磋商。本单位已在</w:t>
      </w:r>
      <w:r>
        <w:rPr>
          <w:rFonts w:hint="eastAsia" w:ascii="宋体" w:hAnsi="宋体" w:eastAsia="宋体" w:cs="宋体"/>
          <w:color w:val="auto"/>
          <w:sz w:val="28"/>
          <w:szCs w:val="28"/>
          <w:highlight w:val="none"/>
          <w:u w:val="none"/>
          <w:lang w:val="en-US" w:eastAsia="zh-CN"/>
        </w:rPr>
        <w:t>自行</w:t>
      </w:r>
      <w:r>
        <w:rPr>
          <w:rFonts w:hint="eastAsia" w:ascii="宋体" w:hAnsi="宋体" w:eastAsia="宋体" w:cs="宋体"/>
          <w:color w:val="auto"/>
          <w:sz w:val="28"/>
          <w:szCs w:val="28"/>
          <w:highlight w:val="none"/>
        </w:rPr>
        <w:t>获取磋商文件，特发此函确认。</w:t>
      </w:r>
    </w:p>
    <w:p w14:paraId="1923DBFD">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（单位公章）</w:t>
      </w:r>
    </w:p>
    <w:p w14:paraId="62A668EF">
      <w:pPr>
        <w:keepNext w:val="0"/>
        <w:keepLines w:val="0"/>
        <w:pageBreakBefore w:val="0"/>
        <w:widowControl w:val="0"/>
        <w:pBdr>
          <w:bottom w:val="single" w:color="auto" w:sz="6" w:space="1"/>
        </w:pBdr>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日</w:t>
      </w:r>
    </w:p>
    <w:p w14:paraId="7825EDB9">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w:t>
      </w:r>
    </w:p>
    <w:p w14:paraId="75EC9149">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center"/>
        <w:textAlignment w:val="auto"/>
        <w:rPr>
          <w:rFonts w:hint="eastAsia" w:ascii="宋体" w:hAnsi="宋体" w:eastAsia="宋体" w:cs="宋体"/>
          <w:b/>
          <w:color w:val="auto"/>
          <w:sz w:val="28"/>
          <w:szCs w:val="28"/>
          <w:highlight w:val="none"/>
        </w:rPr>
      </w:pPr>
      <w:bookmarkStart w:id="116" w:name="_Toc28635"/>
      <w:r>
        <w:rPr>
          <w:rFonts w:hint="eastAsia" w:ascii="宋体" w:hAnsi="宋体" w:eastAsia="宋体" w:cs="宋体"/>
          <w:b/>
          <w:color w:val="auto"/>
          <w:sz w:val="28"/>
          <w:szCs w:val="28"/>
          <w:highlight w:val="none"/>
        </w:rPr>
        <w:t>供应商联系表</w:t>
      </w:r>
      <w:bookmarkEnd w:id="116"/>
    </w:p>
    <w:tbl>
      <w:tblPr>
        <w:tblStyle w:val="30"/>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7"/>
        <w:gridCol w:w="2609"/>
        <w:gridCol w:w="2608"/>
        <w:gridCol w:w="2285"/>
      </w:tblGrid>
      <w:tr w14:paraId="0CCE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317" w:type="dxa"/>
            <w:vAlign w:val="center"/>
          </w:tcPr>
          <w:p w14:paraId="320CBA7F">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单位名称</w:t>
            </w:r>
          </w:p>
        </w:tc>
        <w:tc>
          <w:tcPr>
            <w:tcW w:w="7502" w:type="dxa"/>
            <w:gridSpan w:val="3"/>
            <w:vAlign w:val="center"/>
          </w:tcPr>
          <w:p w14:paraId="0337B257">
            <w:pPr>
              <w:jc w:val="center"/>
              <w:rPr>
                <w:rFonts w:hint="eastAsia" w:ascii="宋体" w:hAnsi="宋体" w:eastAsia="宋体" w:cs="宋体"/>
                <w:color w:val="auto"/>
                <w:sz w:val="28"/>
                <w:szCs w:val="28"/>
                <w:highlight w:val="none"/>
              </w:rPr>
            </w:pPr>
          </w:p>
        </w:tc>
      </w:tr>
      <w:tr w14:paraId="1AC49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317" w:type="dxa"/>
            <w:vAlign w:val="center"/>
          </w:tcPr>
          <w:p w14:paraId="00C934C2">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单位地址</w:t>
            </w:r>
          </w:p>
        </w:tc>
        <w:tc>
          <w:tcPr>
            <w:tcW w:w="7502" w:type="dxa"/>
            <w:gridSpan w:val="3"/>
            <w:vAlign w:val="center"/>
          </w:tcPr>
          <w:p w14:paraId="50D35CD5">
            <w:pPr>
              <w:jc w:val="center"/>
              <w:rPr>
                <w:rFonts w:hint="eastAsia" w:ascii="宋体" w:hAnsi="宋体" w:eastAsia="宋体" w:cs="宋体"/>
                <w:color w:val="auto"/>
                <w:sz w:val="28"/>
                <w:szCs w:val="28"/>
                <w:highlight w:val="none"/>
              </w:rPr>
            </w:pPr>
          </w:p>
        </w:tc>
      </w:tr>
      <w:tr w14:paraId="0EBB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317" w:type="dxa"/>
            <w:vAlign w:val="center"/>
          </w:tcPr>
          <w:p w14:paraId="288820DC">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tc>
        <w:tc>
          <w:tcPr>
            <w:tcW w:w="2609" w:type="dxa"/>
            <w:vAlign w:val="center"/>
          </w:tcPr>
          <w:p w14:paraId="2260CF09">
            <w:pPr>
              <w:jc w:val="center"/>
              <w:rPr>
                <w:rFonts w:hint="eastAsia" w:ascii="宋体" w:hAnsi="宋体" w:eastAsia="宋体" w:cs="宋体"/>
                <w:color w:val="auto"/>
                <w:sz w:val="28"/>
                <w:szCs w:val="28"/>
                <w:highlight w:val="none"/>
              </w:rPr>
            </w:pPr>
          </w:p>
        </w:tc>
        <w:tc>
          <w:tcPr>
            <w:tcW w:w="2608" w:type="dxa"/>
            <w:vAlign w:val="center"/>
          </w:tcPr>
          <w:p w14:paraId="5A45CDDA">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邮    编</w:t>
            </w:r>
          </w:p>
        </w:tc>
        <w:tc>
          <w:tcPr>
            <w:tcW w:w="2285" w:type="dxa"/>
            <w:vAlign w:val="center"/>
          </w:tcPr>
          <w:p w14:paraId="092A537B">
            <w:pPr>
              <w:jc w:val="center"/>
              <w:rPr>
                <w:rFonts w:hint="eastAsia" w:ascii="宋体" w:hAnsi="宋体" w:eastAsia="宋体" w:cs="宋体"/>
                <w:color w:val="auto"/>
                <w:sz w:val="28"/>
                <w:szCs w:val="28"/>
                <w:highlight w:val="none"/>
              </w:rPr>
            </w:pPr>
          </w:p>
        </w:tc>
      </w:tr>
      <w:tr w14:paraId="73BA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2317" w:type="dxa"/>
            <w:vAlign w:val="center"/>
          </w:tcPr>
          <w:p w14:paraId="4FF538E0">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单位电话</w:t>
            </w:r>
          </w:p>
        </w:tc>
        <w:tc>
          <w:tcPr>
            <w:tcW w:w="2609" w:type="dxa"/>
            <w:vAlign w:val="center"/>
          </w:tcPr>
          <w:p w14:paraId="4FDAC96B">
            <w:pPr>
              <w:jc w:val="center"/>
              <w:rPr>
                <w:rFonts w:hint="eastAsia" w:ascii="宋体" w:hAnsi="宋体" w:eastAsia="宋体" w:cs="宋体"/>
                <w:color w:val="auto"/>
                <w:sz w:val="28"/>
                <w:szCs w:val="28"/>
                <w:highlight w:val="none"/>
              </w:rPr>
            </w:pPr>
          </w:p>
        </w:tc>
        <w:tc>
          <w:tcPr>
            <w:tcW w:w="2608" w:type="dxa"/>
            <w:vAlign w:val="center"/>
          </w:tcPr>
          <w:p w14:paraId="479EEBDF">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传真号码</w:t>
            </w:r>
          </w:p>
        </w:tc>
        <w:tc>
          <w:tcPr>
            <w:tcW w:w="2285" w:type="dxa"/>
            <w:vAlign w:val="center"/>
          </w:tcPr>
          <w:p w14:paraId="4E669BD8">
            <w:pPr>
              <w:jc w:val="center"/>
              <w:rPr>
                <w:rFonts w:hint="eastAsia" w:ascii="宋体" w:hAnsi="宋体" w:eastAsia="宋体" w:cs="宋体"/>
                <w:color w:val="auto"/>
                <w:sz w:val="28"/>
                <w:szCs w:val="28"/>
                <w:highlight w:val="none"/>
              </w:rPr>
            </w:pPr>
          </w:p>
        </w:tc>
      </w:tr>
      <w:tr w14:paraId="2DF5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317" w:type="dxa"/>
            <w:vAlign w:val="center"/>
          </w:tcPr>
          <w:p w14:paraId="5EEA6F6F">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项目联系人</w:t>
            </w:r>
          </w:p>
        </w:tc>
        <w:tc>
          <w:tcPr>
            <w:tcW w:w="2609" w:type="dxa"/>
            <w:vAlign w:val="center"/>
          </w:tcPr>
          <w:p w14:paraId="4FE37367">
            <w:pPr>
              <w:jc w:val="center"/>
              <w:rPr>
                <w:rFonts w:hint="eastAsia" w:ascii="宋体" w:hAnsi="宋体" w:eastAsia="宋体" w:cs="宋体"/>
                <w:color w:val="auto"/>
                <w:sz w:val="28"/>
                <w:szCs w:val="28"/>
                <w:highlight w:val="none"/>
              </w:rPr>
            </w:pPr>
          </w:p>
        </w:tc>
        <w:tc>
          <w:tcPr>
            <w:tcW w:w="2608" w:type="dxa"/>
            <w:vAlign w:val="center"/>
          </w:tcPr>
          <w:p w14:paraId="3A663AB8">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邮    箱</w:t>
            </w:r>
          </w:p>
        </w:tc>
        <w:tc>
          <w:tcPr>
            <w:tcW w:w="2285" w:type="dxa"/>
            <w:vAlign w:val="center"/>
          </w:tcPr>
          <w:p w14:paraId="625AA6FD">
            <w:pPr>
              <w:jc w:val="center"/>
              <w:rPr>
                <w:rFonts w:hint="eastAsia" w:ascii="宋体" w:hAnsi="宋体" w:eastAsia="宋体" w:cs="宋体"/>
                <w:color w:val="auto"/>
                <w:sz w:val="28"/>
                <w:szCs w:val="28"/>
                <w:highlight w:val="none"/>
              </w:rPr>
            </w:pPr>
          </w:p>
        </w:tc>
      </w:tr>
      <w:tr w14:paraId="7984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2317" w:type="dxa"/>
            <w:vAlign w:val="center"/>
          </w:tcPr>
          <w:p w14:paraId="1FFB728D">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联系人电话</w:t>
            </w:r>
          </w:p>
        </w:tc>
        <w:tc>
          <w:tcPr>
            <w:tcW w:w="2609" w:type="dxa"/>
            <w:vAlign w:val="center"/>
          </w:tcPr>
          <w:p w14:paraId="20394CB2">
            <w:pPr>
              <w:jc w:val="center"/>
              <w:rPr>
                <w:rFonts w:hint="eastAsia" w:ascii="宋体" w:hAnsi="宋体" w:eastAsia="宋体" w:cs="宋体"/>
                <w:color w:val="auto"/>
                <w:sz w:val="28"/>
                <w:szCs w:val="28"/>
                <w:highlight w:val="none"/>
              </w:rPr>
            </w:pPr>
          </w:p>
        </w:tc>
        <w:tc>
          <w:tcPr>
            <w:tcW w:w="2608" w:type="dxa"/>
            <w:vAlign w:val="center"/>
          </w:tcPr>
          <w:p w14:paraId="56227D20">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联系人手机</w:t>
            </w:r>
          </w:p>
        </w:tc>
        <w:tc>
          <w:tcPr>
            <w:tcW w:w="2285" w:type="dxa"/>
            <w:vAlign w:val="center"/>
          </w:tcPr>
          <w:p w14:paraId="26D5BB2B">
            <w:pPr>
              <w:jc w:val="center"/>
              <w:rPr>
                <w:rFonts w:hint="eastAsia" w:ascii="宋体" w:hAnsi="宋体" w:eastAsia="宋体" w:cs="宋体"/>
                <w:color w:val="auto"/>
                <w:sz w:val="28"/>
                <w:szCs w:val="28"/>
                <w:highlight w:val="none"/>
              </w:rPr>
            </w:pPr>
          </w:p>
        </w:tc>
      </w:tr>
    </w:tbl>
    <w:p w14:paraId="1EDBC482">
      <w:pPr>
        <w:spacing w:line="360" w:lineRule="auto"/>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备注：1、请准备参与本项目磋商的供应商如实填写（以上信息均为必填内容）后邮件至代理机构（邮箱：</w:t>
      </w:r>
      <w:r>
        <w:rPr>
          <w:rFonts w:hint="eastAsia" w:ascii="宋体" w:hAnsi="宋体" w:eastAsia="宋体" w:cs="宋体"/>
          <w:b/>
          <w:color w:val="auto"/>
          <w:sz w:val="28"/>
          <w:szCs w:val="28"/>
          <w:highlight w:val="none"/>
          <w:lang w:val="en-US" w:eastAsia="zh-CN"/>
        </w:rPr>
        <w:t>376671107</w:t>
      </w:r>
      <w:r>
        <w:rPr>
          <w:rFonts w:hint="eastAsia" w:ascii="宋体" w:hAnsi="宋体" w:eastAsia="宋体" w:cs="宋体"/>
          <w:b/>
          <w:color w:val="auto"/>
          <w:sz w:val="28"/>
          <w:szCs w:val="28"/>
          <w:highlight w:val="none"/>
        </w:rPr>
        <w:t>@qq.com，电话：0514-</w:t>
      </w:r>
      <w:r>
        <w:rPr>
          <w:rFonts w:hint="eastAsia" w:ascii="宋体" w:hAnsi="宋体" w:eastAsia="宋体" w:cs="宋体"/>
          <w:b/>
          <w:color w:val="auto"/>
          <w:sz w:val="28"/>
          <w:szCs w:val="28"/>
          <w:highlight w:val="none"/>
          <w:lang w:eastAsia="zh-CN"/>
        </w:rPr>
        <w:t>821291</w:t>
      </w:r>
      <w:r>
        <w:rPr>
          <w:rFonts w:hint="eastAsia" w:ascii="宋体" w:hAnsi="宋体" w:eastAsia="宋体" w:cs="宋体"/>
          <w:b/>
          <w:color w:val="auto"/>
          <w:sz w:val="28"/>
          <w:szCs w:val="28"/>
          <w:highlight w:val="none"/>
          <w:lang w:val="en-US" w:eastAsia="zh-CN"/>
        </w:rPr>
        <w:t>16</w:t>
      </w:r>
      <w:r>
        <w:rPr>
          <w:rFonts w:hint="eastAsia" w:ascii="宋体" w:hAnsi="宋体" w:eastAsia="宋体" w:cs="宋体"/>
          <w:b/>
          <w:color w:val="auto"/>
          <w:sz w:val="28"/>
          <w:szCs w:val="28"/>
          <w:highlight w:val="none"/>
        </w:rPr>
        <w:t>）。</w:t>
      </w:r>
    </w:p>
    <w:p w14:paraId="487F0C86">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2、因供应商填写有误，造成以上信息资料的不实将由供应商承担责任。</w:t>
      </w:r>
    </w:p>
    <w:p w14:paraId="4225A188">
      <w:pPr>
        <w:rPr>
          <w:rFonts w:hint="eastAsia" w:ascii="宋体" w:hAnsi="宋体" w:eastAsia="宋体" w:cs="宋体"/>
          <w:b/>
          <w:color w:val="auto"/>
          <w:sz w:val="28"/>
          <w:szCs w:val="28"/>
          <w:highlight w:val="none"/>
        </w:rPr>
      </w:pPr>
    </w:p>
    <w:sectPr>
      <w:pgSz w:w="11906" w:h="16838"/>
      <w:pgMar w:top="1270" w:right="1083" w:bottom="1270" w:left="1083" w:header="1191" w:footer="992" w:gutter="0"/>
      <w:pgBorders>
        <w:top w:val="none" w:sz="0" w:space="0"/>
        <w:left w:val="none" w:sz="0" w:space="0"/>
        <w:bottom w:val="none" w:sz="0" w:space="0"/>
        <w:right w:val="none" w:sz="0" w:space="0"/>
      </w:pgBorders>
      <w:pgNumType w:fmt="numberInDash"/>
      <w:cols w:space="0" w:num="1"/>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rif">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301CE">
    <w:pPr>
      <w:pStyle w:val="19"/>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5BD09">
    <w:pPr>
      <w:pStyle w:val="19"/>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888F277">
                          <w:pPr>
                            <w:pStyle w:val="1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7888F277">
                    <w:pPr>
                      <w:pStyle w:val="1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C871D">
    <w:pPr>
      <w:pStyle w:val="19"/>
      <w:tabs>
        <w:tab w:val="center" w:pos="4536"/>
        <w:tab w:val="clear" w:pos="4153"/>
      </w:tabs>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04FB371">
                          <w:pPr>
                            <w:pStyle w:val="1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04FB371">
                    <w:pPr>
                      <w:pStyle w:val="19"/>
                    </w:pPr>
                    <w:r>
                      <w:fldChar w:fldCharType="begin"/>
                    </w:r>
                    <w:r>
                      <w:instrText xml:space="preserve"> PAGE  \* MERGEFORMAT </w:instrText>
                    </w:r>
                    <w:r>
                      <w:fldChar w:fldCharType="separate"/>
                    </w:r>
                    <w:r>
                      <w:t>- 1 -</w:t>
                    </w:r>
                    <w: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62048">
    <w:pPr>
      <w:pStyle w:val="20"/>
      <w:ind w:firstLine="360" w:firstLineChars="200"/>
      <w:jc w:val="both"/>
    </w:pPr>
    <w:r>
      <w:rPr>
        <w:rFonts w:hint="eastAsia" w:ascii="宋体" w:hAnsi="宋体" w:cs="宋体"/>
        <w:lang w:eastAsia="zh-CN"/>
      </w:rPr>
      <w:t>YDFYSW-20260701</w:t>
    </w:r>
    <w:r>
      <w:rPr>
        <w:rFonts w:hint="eastAsia" w:ascii="宋体" w:hAnsi="宋体" w:cs="宋体"/>
      </w:rPr>
      <w:t>号</w:t>
    </w:r>
    <w:r>
      <w:rPr>
        <w:rFonts w:hint="eastAsia" w:ascii="宋体" w:hAnsi="宋体" w:cs="宋体"/>
        <w:lang w:val="en-US" w:eastAsia="zh-CN"/>
      </w:rPr>
      <w:t xml:space="preserve">                                                          </w:t>
    </w:r>
    <w:r>
      <w:rPr>
        <w:rFonts w:hint="eastAsia"/>
      </w:rPr>
      <w:t>江苏苏维工程管理有限公司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7C0EA6"/>
    <w:multiLevelType w:val="singleLevel"/>
    <w:tmpl w:val="AA7C0EA6"/>
    <w:lvl w:ilvl="0" w:tentative="0">
      <w:start w:val="6"/>
      <w:numFmt w:val="chineseCounting"/>
      <w:suff w:val="nothing"/>
      <w:lvlText w:val="%1、"/>
      <w:lvlJc w:val="left"/>
      <w:rPr>
        <w:rFonts w:hint="eastAsia"/>
      </w:rPr>
    </w:lvl>
  </w:abstractNum>
  <w:abstractNum w:abstractNumId="1">
    <w:nsid w:val="11033C00"/>
    <w:multiLevelType w:val="singleLevel"/>
    <w:tmpl w:val="11033C00"/>
    <w:lvl w:ilvl="0" w:tentative="0">
      <w:start w:val="1"/>
      <w:numFmt w:val="bullet"/>
      <w:pStyle w:val="13"/>
      <w:lvlText w:val=""/>
      <w:lvlJc w:val="left"/>
      <w:pPr>
        <w:tabs>
          <w:tab w:val="left" w:pos="780"/>
        </w:tabs>
        <w:ind w:left="780" w:hanging="360"/>
      </w:pPr>
      <w:rPr>
        <w:rFonts w:hint="default" w:ascii="Wingdings" w:hAnsi="Wingdings"/>
      </w:rPr>
    </w:lvl>
  </w:abstractNum>
  <w:abstractNum w:abstractNumId="2">
    <w:nsid w:val="237E4D61"/>
    <w:multiLevelType w:val="multilevel"/>
    <w:tmpl w:val="237E4D61"/>
    <w:lvl w:ilvl="0" w:tentative="0">
      <w:start w:val="1"/>
      <w:numFmt w:val="japaneseCounting"/>
      <w:lvlText w:val="第%1章"/>
      <w:lvlJc w:val="left"/>
      <w:pPr>
        <w:ind w:left="300" w:hanging="420"/>
      </w:pPr>
      <w:rPr>
        <w:rFonts w:hint="eastAsia" w:ascii="黑体" w:eastAsia="黑体"/>
        <w:b w:val="0"/>
        <w:sz w:val="36"/>
        <w:lang w:val="en-US"/>
      </w:rPr>
    </w:lvl>
    <w:lvl w:ilvl="1" w:tentative="0">
      <w:start w:val="1"/>
      <w:numFmt w:val="decimal"/>
      <w:pStyle w:val="94"/>
      <w:isLgl/>
      <w:lvlText w:val="%1.%2"/>
      <w:lvlJc w:val="left"/>
      <w:pPr>
        <w:tabs>
          <w:tab w:val="left" w:pos="851"/>
        </w:tabs>
        <w:ind w:left="0" w:firstLine="0"/>
      </w:pPr>
    </w:lvl>
    <w:lvl w:ilvl="2" w:tentative="0">
      <w:start w:val="1"/>
      <w:numFmt w:val="decimal"/>
      <w:pStyle w:val="88"/>
      <w:isLgl/>
      <w:lvlText w:val="%1.%2.%3"/>
      <w:lvlJc w:val="left"/>
      <w:pPr>
        <w:tabs>
          <w:tab w:val="left" w:pos="851"/>
        </w:tabs>
        <w:ind w:left="0" w:firstLine="0"/>
      </w:pPr>
      <w:rPr>
        <w:color w:val="000000"/>
      </w:rPr>
    </w:lvl>
    <w:lvl w:ilvl="3" w:tentative="0">
      <w:start w:val="1"/>
      <w:numFmt w:val="decimal"/>
      <w:isLgl/>
      <w:lvlText w:val="%1.%2.%3.%4"/>
      <w:lvlJc w:val="left"/>
      <w:pPr>
        <w:tabs>
          <w:tab w:val="left" w:pos="1134"/>
        </w:tabs>
        <w:ind w:left="0" w:firstLine="0"/>
      </w:pPr>
      <w:rPr>
        <w:rFonts w:hint="eastAsia"/>
      </w:rPr>
    </w:lvl>
    <w:lvl w:ilvl="4" w:tentative="0">
      <w:start w:val="1"/>
      <w:numFmt w:val="decimal"/>
      <w:lvlText w:val="%1.%2.%3.%4.%5"/>
      <w:lvlJc w:val="left"/>
      <w:pPr>
        <w:tabs>
          <w:tab w:val="left" w:pos="4850"/>
        </w:tabs>
        <w:ind w:left="4620" w:hanging="850"/>
      </w:pPr>
      <w:rPr>
        <w:rFonts w:hint="eastAsia"/>
      </w:rPr>
    </w:lvl>
    <w:lvl w:ilvl="5" w:tentative="0">
      <w:start w:val="1"/>
      <w:numFmt w:val="decimal"/>
      <w:lvlText w:val="%1.%2.%3.%4.%5.%6"/>
      <w:lvlJc w:val="left"/>
      <w:pPr>
        <w:tabs>
          <w:tab w:val="left" w:pos="5635"/>
        </w:tabs>
        <w:ind w:left="5329" w:hanging="1134"/>
      </w:pPr>
      <w:rPr>
        <w:rFonts w:hint="eastAsia"/>
      </w:rPr>
    </w:lvl>
    <w:lvl w:ilvl="6" w:tentative="0">
      <w:start w:val="1"/>
      <w:numFmt w:val="decimal"/>
      <w:lvlText w:val="%1.%2.%3.%4.%5.%6.%7"/>
      <w:lvlJc w:val="left"/>
      <w:pPr>
        <w:tabs>
          <w:tab w:val="left" w:pos="6420"/>
        </w:tabs>
        <w:ind w:left="5896" w:hanging="1276"/>
      </w:pPr>
      <w:rPr>
        <w:rFonts w:hint="eastAsia"/>
      </w:rPr>
    </w:lvl>
    <w:lvl w:ilvl="7" w:tentative="0">
      <w:start w:val="1"/>
      <w:numFmt w:val="decimal"/>
      <w:lvlText w:val="%1.%2.%3.%4.%5.%6.%7.%8"/>
      <w:lvlJc w:val="left"/>
      <w:pPr>
        <w:tabs>
          <w:tab w:val="left" w:pos="6845"/>
        </w:tabs>
        <w:ind w:left="6463" w:hanging="1418"/>
      </w:pPr>
      <w:rPr>
        <w:rFonts w:hint="eastAsia"/>
      </w:rPr>
    </w:lvl>
    <w:lvl w:ilvl="8" w:tentative="0">
      <w:start w:val="1"/>
      <w:numFmt w:val="decimal"/>
      <w:lvlText w:val="%1.%2.%3.%4.%5.%6.%7.%8.%9"/>
      <w:lvlJc w:val="left"/>
      <w:pPr>
        <w:tabs>
          <w:tab w:val="left" w:pos="7631"/>
        </w:tabs>
        <w:ind w:left="7171" w:hanging="1700"/>
      </w:pPr>
      <w:rPr>
        <w:rFonts w:hint="eastAsia"/>
      </w:rPr>
    </w:lvl>
  </w:abstractNum>
  <w:abstractNum w:abstractNumId="3">
    <w:nsid w:val="5A4D868E"/>
    <w:multiLevelType w:val="singleLevel"/>
    <w:tmpl w:val="5A4D868E"/>
    <w:lvl w:ilvl="0" w:tentative="0">
      <w:start w:val="3"/>
      <w:numFmt w:val="chineseCounting"/>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rawingGridHorizontalSpacing w:val="210"/>
  <w:drawingGridVerticalSpacing w:val="162"/>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4YzZiNGZiNTE0ZjM0MDI5NDk1MzQzMzBmODgwMzUifQ=="/>
  </w:docVars>
  <w:rsids>
    <w:rsidRoot w:val="003D6ED5"/>
    <w:rsid w:val="00003582"/>
    <w:rsid w:val="000058E6"/>
    <w:rsid w:val="00013654"/>
    <w:rsid w:val="00021DB6"/>
    <w:rsid w:val="00027727"/>
    <w:rsid w:val="000308B7"/>
    <w:rsid w:val="00032643"/>
    <w:rsid w:val="00044430"/>
    <w:rsid w:val="00061825"/>
    <w:rsid w:val="00062384"/>
    <w:rsid w:val="00072D76"/>
    <w:rsid w:val="00076E0B"/>
    <w:rsid w:val="00087D1B"/>
    <w:rsid w:val="000942B7"/>
    <w:rsid w:val="00095538"/>
    <w:rsid w:val="000A002F"/>
    <w:rsid w:val="000A6FCA"/>
    <w:rsid w:val="000B0B1B"/>
    <w:rsid w:val="000B2375"/>
    <w:rsid w:val="000B286F"/>
    <w:rsid w:val="000B44D3"/>
    <w:rsid w:val="000C2882"/>
    <w:rsid w:val="000C3DA7"/>
    <w:rsid w:val="000E198E"/>
    <w:rsid w:val="000E1FED"/>
    <w:rsid w:val="000E3FC3"/>
    <w:rsid w:val="000E4474"/>
    <w:rsid w:val="000E4D63"/>
    <w:rsid w:val="000E51BD"/>
    <w:rsid w:val="001032A1"/>
    <w:rsid w:val="00103897"/>
    <w:rsid w:val="001152BF"/>
    <w:rsid w:val="00116ECE"/>
    <w:rsid w:val="00122D34"/>
    <w:rsid w:val="00125756"/>
    <w:rsid w:val="00135135"/>
    <w:rsid w:val="001406B1"/>
    <w:rsid w:val="0015004B"/>
    <w:rsid w:val="00175BD5"/>
    <w:rsid w:val="001A0DFD"/>
    <w:rsid w:val="001A0F32"/>
    <w:rsid w:val="001A450D"/>
    <w:rsid w:val="001A6157"/>
    <w:rsid w:val="001A72F1"/>
    <w:rsid w:val="001C0B23"/>
    <w:rsid w:val="001E0949"/>
    <w:rsid w:val="001F7F7E"/>
    <w:rsid w:val="0020381C"/>
    <w:rsid w:val="00207C7F"/>
    <w:rsid w:val="002179D5"/>
    <w:rsid w:val="002205DA"/>
    <w:rsid w:val="0024360F"/>
    <w:rsid w:val="00247343"/>
    <w:rsid w:val="002520C8"/>
    <w:rsid w:val="0025453A"/>
    <w:rsid w:val="00260EFF"/>
    <w:rsid w:val="002644ED"/>
    <w:rsid w:val="002831B3"/>
    <w:rsid w:val="002858F6"/>
    <w:rsid w:val="00285B00"/>
    <w:rsid w:val="00292CBD"/>
    <w:rsid w:val="00296707"/>
    <w:rsid w:val="002B247F"/>
    <w:rsid w:val="002B6EA1"/>
    <w:rsid w:val="002B7B38"/>
    <w:rsid w:val="002C2EA6"/>
    <w:rsid w:val="002E77D8"/>
    <w:rsid w:val="00303E2F"/>
    <w:rsid w:val="003042F5"/>
    <w:rsid w:val="00311A61"/>
    <w:rsid w:val="003139BF"/>
    <w:rsid w:val="00321D2B"/>
    <w:rsid w:val="00326A6D"/>
    <w:rsid w:val="00331F05"/>
    <w:rsid w:val="0033757F"/>
    <w:rsid w:val="0034559A"/>
    <w:rsid w:val="003548C9"/>
    <w:rsid w:val="00357EFA"/>
    <w:rsid w:val="00362635"/>
    <w:rsid w:val="003651FB"/>
    <w:rsid w:val="00365D19"/>
    <w:rsid w:val="003731C7"/>
    <w:rsid w:val="00374E6A"/>
    <w:rsid w:val="00375CED"/>
    <w:rsid w:val="00395E44"/>
    <w:rsid w:val="003A0997"/>
    <w:rsid w:val="003A795C"/>
    <w:rsid w:val="003B3F4F"/>
    <w:rsid w:val="003B45AC"/>
    <w:rsid w:val="003D21B2"/>
    <w:rsid w:val="003D2A1B"/>
    <w:rsid w:val="003D6ED5"/>
    <w:rsid w:val="003F1847"/>
    <w:rsid w:val="003F2AC7"/>
    <w:rsid w:val="0041422B"/>
    <w:rsid w:val="00417EF4"/>
    <w:rsid w:val="00451A4C"/>
    <w:rsid w:val="00454509"/>
    <w:rsid w:val="00456A14"/>
    <w:rsid w:val="00457304"/>
    <w:rsid w:val="00460A02"/>
    <w:rsid w:val="00484E5D"/>
    <w:rsid w:val="004B1D9A"/>
    <w:rsid w:val="004C64F3"/>
    <w:rsid w:val="004D52D8"/>
    <w:rsid w:val="004E0863"/>
    <w:rsid w:val="004E7022"/>
    <w:rsid w:val="004F1FD1"/>
    <w:rsid w:val="004F7264"/>
    <w:rsid w:val="0050076F"/>
    <w:rsid w:val="00500E35"/>
    <w:rsid w:val="00502537"/>
    <w:rsid w:val="00517311"/>
    <w:rsid w:val="0051739D"/>
    <w:rsid w:val="00520CC3"/>
    <w:rsid w:val="00523CEB"/>
    <w:rsid w:val="005319D6"/>
    <w:rsid w:val="00536408"/>
    <w:rsid w:val="005574FC"/>
    <w:rsid w:val="0056405A"/>
    <w:rsid w:val="00564A20"/>
    <w:rsid w:val="00573818"/>
    <w:rsid w:val="005918DA"/>
    <w:rsid w:val="005939EC"/>
    <w:rsid w:val="00594D16"/>
    <w:rsid w:val="00596E5D"/>
    <w:rsid w:val="005A3D55"/>
    <w:rsid w:val="005C088A"/>
    <w:rsid w:val="005C3BD3"/>
    <w:rsid w:val="005C4E76"/>
    <w:rsid w:val="005D4603"/>
    <w:rsid w:val="005D58C8"/>
    <w:rsid w:val="005E0802"/>
    <w:rsid w:val="005E0AA6"/>
    <w:rsid w:val="005E3D95"/>
    <w:rsid w:val="005F0881"/>
    <w:rsid w:val="005F0FA2"/>
    <w:rsid w:val="00612345"/>
    <w:rsid w:val="006129CA"/>
    <w:rsid w:val="00621C19"/>
    <w:rsid w:val="00641E3B"/>
    <w:rsid w:val="00643A0C"/>
    <w:rsid w:val="006614E6"/>
    <w:rsid w:val="0068336C"/>
    <w:rsid w:val="00690D7C"/>
    <w:rsid w:val="00692EB0"/>
    <w:rsid w:val="00694C9F"/>
    <w:rsid w:val="00696E23"/>
    <w:rsid w:val="006A22E3"/>
    <w:rsid w:val="006A448E"/>
    <w:rsid w:val="006A44F1"/>
    <w:rsid w:val="006A5D76"/>
    <w:rsid w:val="006B1A72"/>
    <w:rsid w:val="006B59ED"/>
    <w:rsid w:val="006C6077"/>
    <w:rsid w:val="006D2A98"/>
    <w:rsid w:val="006F3084"/>
    <w:rsid w:val="006F7FE9"/>
    <w:rsid w:val="00720ABA"/>
    <w:rsid w:val="00743F5B"/>
    <w:rsid w:val="0075598E"/>
    <w:rsid w:val="007637A0"/>
    <w:rsid w:val="00771B68"/>
    <w:rsid w:val="00773F7E"/>
    <w:rsid w:val="00777E73"/>
    <w:rsid w:val="00780B9A"/>
    <w:rsid w:val="00781044"/>
    <w:rsid w:val="00785921"/>
    <w:rsid w:val="0079386A"/>
    <w:rsid w:val="00797793"/>
    <w:rsid w:val="007A1658"/>
    <w:rsid w:val="007A5437"/>
    <w:rsid w:val="007B0453"/>
    <w:rsid w:val="007B5155"/>
    <w:rsid w:val="007C717F"/>
    <w:rsid w:val="007D71B5"/>
    <w:rsid w:val="007F0795"/>
    <w:rsid w:val="007F23A4"/>
    <w:rsid w:val="007F5B86"/>
    <w:rsid w:val="00810A0D"/>
    <w:rsid w:val="00832B97"/>
    <w:rsid w:val="00865348"/>
    <w:rsid w:val="008679B1"/>
    <w:rsid w:val="008A1735"/>
    <w:rsid w:val="008A6DE3"/>
    <w:rsid w:val="008C3E2F"/>
    <w:rsid w:val="008D0351"/>
    <w:rsid w:val="008D190E"/>
    <w:rsid w:val="008E003E"/>
    <w:rsid w:val="008E12DF"/>
    <w:rsid w:val="008E5E0A"/>
    <w:rsid w:val="008E7DEC"/>
    <w:rsid w:val="00902B6C"/>
    <w:rsid w:val="00906C8D"/>
    <w:rsid w:val="009111DD"/>
    <w:rsid w:val="0092561E"/>
    <w:rsid w:val="009269A2"/>
    <w:rsid w:val="00942EDF"/>
    <w:rsid w:val="00953426"/>
    <w:rsid w:val="00963AD9"/>
    <w:rsid w:val="009676EA"/>
    <w:rsid w:val="00974FDC"/>
    <w:rsid w:val="0099319E"/>
    <w:rsid w:val="009A4D4D"/>
    <w:rsid w:val="009A513B"/>
    <w:rsid w:val="009A5857"/>
    <w:rsid w:val="009B0E03"/>
    <w:rsid w:val="009B258E"/>
    <w:rsid w:val="009B4235"/>
    <w:rsid w:val="009B776D"/>
    <w:rsid w:val="009D0EDD"/>
    <w:rsid w:val="009D4C36"/>
    <w:rsid w:val="009D4E2C"/>
    <w:rsid w:val="009D6B1D"/>
    <w:rsid w:val="009E2F83"/>
    <w:rsid w:val="009E3C5F"/>
    <w:rsid w:val="009E5605"/>
    <w:rsid w:val="00A02A8A"/>
    <w:rsid w:val="00A14A83"/>
    <w:rsid w:val="00A1559D"/>
    <w:rsid w:val="00A1659D"/>
    <w:rsid w:val="00A2128C"/>
    <w:rsid w:val="00A27D10"/>
    <w:rsid w:val="00A41E47"/>
    <w:rsid w:val="00A432A2"/>
    <w:rsid w:val="00A44C8E"/>
    <w:rsid w:val="00A566D5"/>
    <w:rsid w:val="00A6244D"/>
    <w:rsid w:val="00A62700"/>
    <w:rsid w:val="00A72D2E"/>
    <w:rsid w:val="00A74C65"/>
    <w:rsid w:val="00A90305"/>
    <w:rsid w:val="00AA2C98"/>
    <w:rsid w:val="00AA5139"/>
    <w:rsid w:val="00AB0033"/>
    <w:rsid w:val="00AB62BA"/>
    <w:rsid w:val="00AB7314"/>
    <w:rsid w:val="00AC00B4"/>
    <w:rsid w:val="00AC65C5"/>
    <w:rsid w:val="00AD306F"/>
    <w:rsid w:val="00AE7BBE"/>
    <w:rsid w:val="00AF7F7D"/>
    <w:rsid w:val="00B0708A"/>
    <w:rsid w:val="00B101A7"/>
    <w:rsid w:val="00B1128A"/>
    <w:rsid w:val="00B2494E"/>
    <w:rsid w:val="00B3144C"/>
    <w:rsid w:val="00B34923"/>
    <w:rsid w:val="00B35B94"/>
    <w:rsid w:val="00B53BE4"/>
    <w:rsid w:val="00B571F3"/>
    <w:rsid w:val="00B66B32"/>
    <w:rsid w:val="00B71F65"/>
    <w:rsid w:val="00B86B46"/>
    <w:rsid w:val="00B91537"/>
    <w:rsid w:val="00B93F2F"/>
    <w:rsid w:val="00BA54F7"/>
    <w:rsid w:val="00BA5FBE"/>
    <w:rsid w:val="00BC0838"/>
    <w:rsid w:val="00BC22F6"/>
    <w:rsid w:val="00BD0F21"/>
    <w:rsid w:val="00BD1E0F"/>
    <w:rsid w:val="00BD665F"/>
    <w:rsid w:val="00BD709B"/>
    <w:rsid w:val="00BD775B"/>
    <w:rsid w:val="00BE31DC"/>
    <w:rsid w:val="00BF706B"/>
    <w:rsid w:val="00C066B4"/>
    <w:rsid w:val="00C166BA"/>
    <w:rsid w:val="00C31247"/>
    <w:rsid w:val="00C32987"/>
    <w:rsid w:val="00C36AA5"/>
    <w:rsid w:val="00C531B1"/>
    <w:rsid w:val="00C7221A"/>
    <w:rsid w:val="00C752AA"/>
    <w:rsid w:val="00C80C37"/>
    <w:rsid w:val="00CB2076"/>
    <w:rsid w:val="00CB3C62"/>
    <w:rsid w:val="00CD497D"/>
    <w:rsid w:val="00CD5F9B"/>
    <w:rsid w:val="00CE034B"/>
    <w:rsid w:val="00CE1C40"/>
    <w:rsid w:val="00CF08AD"/>
    <w:rsid w:val="00CF3752"/>
    <w:rsid w:val="00CF3D47"/>
    <w:rsid w:val="00CF5500"/>
    <w:rsid w:val="00D158FA"/>
    <w:rsid w:val="00D161E2"/>
    <w:rsid w:val="00D178C8"/>
    <w:rsid w:val="00D17B09"/>
    <w:rsid w:val="00D218EE"/>
    <w:rsid w:val="00D40460"/>
    <w:rsid w:val="00D419A2"/>
    <w:rsid w:val="00D51D19"/>
    <w:rsid w:val="00D6302E"/>
    <w:rsid w:val="00D6779E"/>
    <w:rsid w:val="00D724F7"/>
    <w:rsid w:val="00D90EAD"/>
    <w:rsid w:val="00D9443B"/>
    <w:rsid w:val="00DA0E14"/>
    <w:rsid w:val="00DA50F4"/>
    <w:rsid w:val="00DA5BE2"/>
    <w:rsid w:val="00DB74B7"/>
    <w:rsid w:val="00DD300C"/>
    <w:rsid w:val="00DD4062"/>
    <w:rsid w:val="00E0284B"/>
    <w:rsid w:val="00E035DA"/>
    <w:rsid w:val="00E235F1"/>
    <w:rsid w:val="00E31206"/>
    <w:rsid w:val="00E3350D"/>
    <w:rsid w:val="00E40880"/>
    <w:rsid w:val="00E408E7"/>
    <w:rsid w:val="00E467DF"/>
    <w:rsid w:val="00E5323A"/>
    <w:rsid w:val="00E73F17"/>
    <w:rsid w:val="00E85EA2"/>
    <w:rsid w:val="00E97F26"/>
    <w:rsid w:val="00EA427F"/>
    <w:rsid w:val="00EA7025"/>
    <w:rsid w:val="00EB3A0D"/>
    <w:rsid w:val="00EB508A"/>
    <w:rsid w:val="00EB73EB"/>
    <w:rsid w:val="00EC2B63"/>
    <w:rsid w:val="00EE04E8"/>
    <w:rsid w:val="00EE2CBC"/>
    <w:rsid w:val="00EE434E"/>
    <w:rsid w:val="00EE5873"/>
    <w:rsid w:val="00EE7E7F"/>
    <w:rsid w:val="00EF17DE"/>
    <w:rsid w:val="00EF2021"/>
    <w:rsid w:val="00EF7582"/>
    <w:rsid w:val="00EF7FC9"/>
    <w:rsid w:val="00F036C9"/>
    <w:rsid w:val="00F03C1B"/>
    <w:rsid w:val="00F237D5"/>
    <w:rsid w:val="00F27441"/>
    <w:rsid w:val="00F45AA5"/>
    <w:rsid w:val="00F50CDF"/>
    <w:rsid w:val="00F52A58"/>
    <w:rsid w:val="00F55FD3"/>
    <w:rsid w:val="00F60AA5"/>
    <w:rsid w:val="00F71FA0"/>
    <w:rsid w:val="00F778AB"/>
    <w:rsid w:val="00F8040B"/>
    <w:rsid w:val="00F8390D"/>
    <w:rsid w:val="00F97977"/>
    <w:rsid w:val="00FA6202"/>
    <w:rsid w:val="00FA7CEB"/>
    <w:rsid w:val="00FB1AF1"/>
    <w:rsid w:val="00FB4547"/>
    <w:rsid w:val="00FC709A"/>
    <w:rsid w:val="00FD05FC"/>
    <w:rsid w:val="00FD49EE"/>
    <w:rsid w:val="00FD6399"/>
    <w:rsid w:val="00FF3B95"/>
    <w:rsid w:val="00FF7164"/>
    <w:rsid w:val="010069C3"/>
    <w:rsid w:val="01042CD0"/>
    <w:rsid w:val="01066A48"/>
    <w:rsid w:val="0108714A"/>
    <w:rsid w:val="010A478A"/>
    <w:rsid w:val="010B405F"/>
    <w:rsid w:val="010E6ECC"/>
    <w:rsid w:val="010F6498"/>
    <w:rsid w:val="01135DB0"/>
    <w:rsid w:val="01163BC4"/>
    <w:rsid w:val="011C626C"/>
    <w:rsid w:val="012515C4"/>
    <w:rsid w:val="01253372"/>
    <w:rsid w:val="01260E98"/>
    <w:rsid w:val="01336B85"/>
    <w:rsid w:val="013637D1"/>
    <w:rsid w:val="01395070"/>
    <w:rsid w:val="013C2097"/>
    <w:rsid w:val="013D4B60"/>
    <w:rsid w:val="01434E3A"/>
    <w:rsid w:val="014814AF"/>
    <w:rsid w:val="014A4B87"/>
    <w:rsid w:val="014D4677"/>
    <w:rsid w:val="014E7371"/>
    <w:rsid w:val="0159126E"/>
    <w:rsid w:val="016F45ED"/>
    <w:rsid w:val="017032A3"/>
    <w:rsid w:val="01710365"/>
    <w:rsid w:val="017165B7"/>
    <w:rsid w:val="01743410"/>
    <w:rsid w:val="01746AF4"/>
    <w:rsid w:val="0179546C"/>
    <w:rsid w:val="017E6F26"/>
    <w:rsid w:val="01831A44"/>
    <w:rsid w:val="018362EB"/>
    <w:rsid w:val="018C1643"/>
    <w:rsid w:val="018E53BB"/>
    <w:rsid w:val="01916C5A"/>
    <w:rsid w:val="019462D8"/>
    <w:rsid w:val="019B1886"/>
    <w:rsid w:val="019D115B"/>
    <w:rsid w:val="01A87296"/>
    <w:rsid w:val="01AA755E"/>
    <w:rsid w:val="01AC3A93"/>
    <w:rsid w:val="01AC5842"/>
    <w:rsid w:val="01AF0E8E"/>
    <w:rsid w:val="01AF5385"/>
    <w:rsid w:val="01B3097E"/>
    <w:rsid w:val="01B6046E"/>
    <w:rsid w:val="01B87F15"/>
    <w:rsid w:val="01B97F5E"/>
    <w:rsid w:val="01BB5A85"/>
    <w:rsid w:val="01C20BC1"/>
    <w:rsid w:val="01C42B8B"/>
    <w:rsid w:val="01C8526E"/>
    <w:rsid w:val="01CA417B"/>
    <w:rsid w:val="01D17056"/>
    <w:rsid w:val="01D37272"/>
    <w:rsid w:val="01D408F4"/>
    <w:rsid w:val="01D55085"/>
    <w:rsid w:val="01D66247"/>
    <w:rsid w:val="01D84888"/>
    <w:rsid w:val="01E3068F"/>
    <w:rsid w:val="01E44FDB"/>
    <w:rsid w:val="01E527CE"/>
    <w:rsid w:val="01E74ACC"/>
    <w:rsid w:val="01EB45BC"/>
    <w:rsid w:val="01ED1B48"/>
    <w:rsid w:val="01F1594A"/>
    <w:rsid w:val="01F47488"/>
    <w:rsid w:val="01F62F61"/>
    <w:rsid w:val="01FB2325"/>
    <w:rsid w:val="02076F1C"/>
    <w:rsid w:val="02092C94"/>
    <w:rsid w:val="020B5B51"/>
    <w:rsid w:val="0216715F"/>
    <w:rsid w:val="021F4265"/>
    <w:rsid w:val="021F6D1A"/>
    <w:rsid w:val="02201D8C"/>
    <w:rsid w:val="02203329"/>
    <w:rsid w:val="0222365C"/>
    <w:rsid w:val="02245B5B"/>
    <w:rsid w:val="0227136C"/>
    <w:rsid w:val="023575E5"/>
    <w:rsid w:val="023F0464"/>
    <w:rsid w:val="02401036"/>
    <w:rsid w:val="024044E2"/>
    <w:rsid w:val="02441F1E"/>
    <w:rsid w:val="02454550"/>
    <w:rsid w:val="02497534"/>
    <w:rsid w:val="02532161"/>
    <w:rsid w:val="02555DE0"/>
    <w:rsid w:val="025657AD"/>
    <w:rsid w:val="02571C51"/>
    <w:rsid w:val="02581525"/>
    <w:rsid w:val="025E59EC"/>
    <w:rsid w:val="02663C42"/>
    <w:rsid w:val="026B74AB"/>
    <w:rsid w:val="026E2AF7"/>
    <w:rsid w:val="026F6516"/>
    <w:rsid w:val="027500FA"/>
    <w:rsid w:val="027C5214"/>
    <w:rsid w:val="02847B9A"/>
    <w:rsid w:val="028B5457"/>
    <w:rsid w:val="028D295C"/>
    <w:rsid w:val="028D5673"/>
    <w:rsid w:val="029032C2"/>
    <w:rsid w:val="02906F11"/>
    <w:rsid w:val="02927177"/>
    <w:rsid w:val="0297204E"/>
    <w:rsid w:val="029755E9"/>
    <w:rsid w:val="029D518A"/>
    <w:rsid w:val="02A12ECC"/>
    <w:rsid w:val="02A14633"/>
    <w:rsid w:val="02A36C44"/>
    <w:rsid w:val="02A4476B"/>
    <w:rsid w:val="02B250DA"/>
    <w:rsid w:val="02B81FC4"/>
    <w:rsid w:val="02BE2EDE"/>
    <w:rsid w:val="02C46BBB"/>
    <w:rsid w:val="02C95F7F"/>
    <w:rsid w:val="02CE68C6"/>
    <w:rsid w:val="02D50DC8"/>
    <w:rsid w:val="02E01C47"/>
    <w:rsid w:val="02E66B31"/>
    <w:rsid w:val="02E844CA"/>
    <w:rsid w:val="02F23728"/>
    <w:rsid w:val="02F254D6"/>
    <w:rsid w:val="02F513EE"/>
    <w:rsid w:val="02F76F90"/>
    <w:rsid w:val="02F77E61"/>
    <w:rsid w:val="02F96864"/>
    <w:rsid w:val="02FE20CD"/>
    <w:rsid w:val="031418F0"/>
    <w:rsid w:val="03157416"/>
    <w:rsid w:val="031B02A5"/>
    <w:rsid w:val="031D7543"/>
    <w:rsid w:val="0328539C"/>
    <w:rsid w:val="032D4760"/>
    <w:rsid w:val="03343D40"/>
    <w:rsid w:val="033B50CF"/>
    <w:rsid w:val="03404493"/>
    <w:rsid w:val="03425C39"/>
    <w:rsid w:val="034321D6"/>
    <w:rsid w:val="034A70C0"/>
    <w:rsid w:val="034D5288"/>
    <w:rsid w:val="035000AB"/>
    <w:rsid w:val="03522419"/>
    <w:rsid w:val="03525F75"/>
    <w:rsid w:val="035937A7"/>
    <w:rsid w:val="035D17BD"/>
    <w:rsid w:val="035D4076"/>
    <w:rsid w:val="035D422C"/>
    <w:rsid w:val="03716D43"/>
    <w:rsid w:val="0374238F"/>
    <w:rsid w:val="03795BF7"/>
    <w:rsid w:val="03863E70"/>
    <w:rsid w:val="038D16A3"/>
    <w:rsid w:val="038F0DD1"/>
    <w:rsid w:val="03921B3D"/>
    <w:rsid w:val="039667A9"/>
    <w:rsid w:val="03990047"/>
    <w:rsid w:val="039C3694"/>
    <w:rsid w:val="03A5079A"/>
    <w:rsid w:val="03A96DB1"/>
    <w:rsid w:val="03AA4003"/>
    <w:rsid w:val="03AA7B5F"/>
    <w:rsid w:val="03AB7F61"/>
    <w:rsid w:val="03AC7D7B"/>
    <w:rsid w:val="03B24C65"/>
    <w:rsid w:val="03B84619"/>
    <w:rsid w:val="03B86720"/>
    <w:rsid w:val="03C23461"/>
    <w:rsid w:val="03C350C4"/>
    <w:rsid w:val="03C36E72"/>
    <w:rsid w:val="03C84489"/>
    <w:rsid w:val="03C86B0F"/>
    <w:rsid w:val="03CE5F43"/>
    <w:rsid w:val="03D46029"/>
    <w:rsid w:val="03D66BA6"/>
    <w:rsid w:val="03DE5A5A"/>
    <w:rsid w:val="03E13472"/>
    <w:rsid w:val="03E77005"/>
    <w:rsid w:val="03EC0177"/>
    <w:rsid w:val="03F60FF6"/>
    <w:rsid w:val="03FF434E"/>
    <w:rsid w:val="04001E75"/>
    <w:rsid w:val="040556DD"/>
    <w:rsid w:val="040C25C7"/>
    <w:rsid w:val="040D73E3"/>
    <w:rsid w:val="04111670"/>
    <w:rsid w:val="041116DA"/>
    <w:rsid w:val="04127C56"/>
    <w:rsid w:val="04131BA8"/>
    <w:rsid w:val="041729E0"/>
    <w:rsid w:val="041871BE"/>
    <w:rsid w:val="041D47D5"/>
    <w:rsid w:val="04253689"/>
    <w:rsid w:val="042711AF"/>
    <w:rsid w:val="042A6EF2"/>
    <w:rsid w:val="0430275A"/>
    <w:rsid w:val="0431202E"/>
    <w:rsid w:val="043A26E3"/>
    <w:rsid w:val="043A5387"/>
    <w:rsid w:val="043F332D"/>
    <w:rsid w:val="043F7501"/>
    <w:rsid w:val="0442248D"/>
    <w:rsid w:val="04484FF1"/>
    <w:rsid w:val="044B5AAE"/>
    <w:rsid w:val="045126D0"/>
    <w:rsid w:val="045439B3"/>
    <w:rsid w:val="0458580D"/>
    <w:rsid w:val="045D72C7"/>
    <w:rsid w:val="046248DD"/>
    <w:rsid w:val="04695C6C"/>
    <w:rsid w:val="046C21D0"/>
    <w:rsid w:val="046C3066"/>
    <w:rsid w:val="046E3282"/>
    <w:rsid w:val="047010F6"/>
    <w:rsid w:val="047311FB"/>
    <w:rsid w:val="04763EE5"/>
    <w:rsid w:val="0478449D"/>
    <w:rsid w:val="047A5783"/>
    <w:rsid w:val="047D100A"/>
    <w:rsid w:val="047D4ADB"/>
    <w:rsid w:val="047E51B3"/>
    <w:rsid w:val="04802709"/>
    <w:rsid w:val="04844854"/>
    <w:rsid w:val="04846602"/>
    <w:rsid w:val="04877EA0"/>
    <w:rsid w:val="04932CE9"/>
    <w:rsid w:val="04934A97"/>
    <w:rsid w:val="04AB1DE0"/>
    <w:rsid w:val="04B02D72"/>
    <w:rsid w:val="04BC5D9C"/>
    <w:rsid w:val="04BE6324"/>
    <w:rsid w:val="04C75A94"/>
    <w:rsid w:val="04CE58E0"/>
    <w:rsid w:val="04D72BD5"/>
    <w:rsid w:val="04D94B9F"/>
    <w:rsid w:val="04DB0DF1"/>
    <w:rsid w:val="04DC4690"/>
    <w:rsid w:val="04DC643E"/>
    <w:rsid w:val="04E050DE"/>
    <w:rsid w:val="04E11CA6"/>
    <w:rsid w:val="04E452F2"/>
    <w:rsid w:val="04E53C72"/>
    <w:rsid w:val="04EB48D3"/>
    <w:rsid w:val="04ED064B"/>
    <w:rsid w:val="04EF43C3"/>
    <w:rsid w:val="04F01EE9"/>
    <w:rsid w:val="04F03C97"/>
    <w:rsid w:val="04F27A0F"/>
    <w:rsid w:val="04F973C6"/>
    <w:rsid w:val="04FD4EBC"/>
    <w:rsid w:val="04FE4606"/>
    <w:rsid w:val="04FF037E"/>
    <w:rsid w:val="05040B57"/>
    <w:rsid w:val="05044491"/>
    <w:rsid w:val="05045994"/>
    <w:rsid w:val="05092FAB"/>
    <w:rsid w:val="050A3155"/>
    <w:rsid w:val="050E236F"/>
    <w:rsid w:val="051122DE"/>
    <w:rsid w:val="05122FB5"/>
    <w:rsid w:val="05151950"/>
    <w:rsid w:val="051C2CDE"/>
    <w:rsid w:val="051E0804"/>
    <w:rsid w:val="0523406D"/>
    <w:rsid w:val="05353DA0"/>
    <w:rsid w:val="05385126"/>
    <w:rsid w:val="053E4A03"/>
    <w:rsid w:val="053E74DA"/>
    <w:rsid w:val="0543026B"/>
    <w:rsid w:val="0544074C"/>
    <w:rsid w:val="054C48B1"/>
    <w:rsid w:val="054E3E47"/>
    <w:rsid w:val="05544226"/>
    <w:rsid w:val="055A352B"/>
    <w:rsid w:val="055A55B4"/>
    <w:rsid w:val="05600E1D"/>
    <w:rsid w:val="0560706F"/>
    <w:rsid w:val="05614B95"/>
    <w:rsid w:val="0567285A"/>
    <w:rsid w:val="05687CD1"/>
    <w:rsid w:val="05721780"/>
    <w:rsid w:val="057335C1"/>
    <w:rsid w:val="05860158"/>
    <w:rsid w:val="05863F97"/>
    <w:rsid w:val="05883ED0"/>
    <w:rsid w:val="05937CDE"/>
    <w:rsid w:val="05952DBB"/>
    <w:rsid w:val="05976809"/>
    <w:rsid w:val="059960DD"/>
    <w:rsid w:val="059B1E55"/>
    <w:rsid w:val="059C797B"/>
    <w:rsid w:val="059D3E1F"/>
    <w:rsid w:val="05A01219"/>
    <w:rsid w:val="05A0746B"/>
    <w:rsid w:val="05A306C5"/>
    <w:rsid w:val="05AA0A4B"/>
    <w:rsid w:val="05AC577E"/>
    <w:rsid w:val="05AD2CD8"/>
    <w:rsid w:val="05B41169"/>
    <w:rsid w:val="05B44CC5"/>
    <w:rsid w:val="05B66F09"/>
    <w:rsid w:val="05C25634"/>
    <w:rsid w:val="05C50C80"/>
    <w:rsid w:val="05CA794E"/>
    <w:rsid w:val="05CF0BA4"/>
    <w:rsid w:val="05CF47C6"/>
    <w:rsid w:val="05DB04A3"/>
    <w:rsid w:val="05DB4947"/>
    <w:rsid w:val="05E51322"/>
    <w:rsid w:val="05EA4B8A"/>
    <w:rsid w:val="05ED1043"/>
    <w:rsid w:val="05EE6DAA"/>
    <w:rsid w:val="05EE6F91"/>
    <w:rsid w:val="05F24F24"/>
    <w:rsid w:val="05F72E03"/>
    <w:rsid w:val="05F91E7B"/>
    <w:rsid w:val="060967F3"/>
    <w:rsid w:val="060D1600"/>
    <w:rsid w:val="061816F7"/>
    <w:rsid w:val="061A7F2D"/>
    <w:rsid w:val="0622111A"/>
    <w:rsid w:val="06231E4A"/>
    <w:rsid w:val="062E2CC9"/>
    <w:rsid w:val="063564EA"/>
    <w:rsid w:val="06367DD0"/>
    <w:rsid w:val="063D3F02"/>
    <w:rsid w:val="063F4ED6"/>
    <w:rsid w:val="06431415"/>
    <w:rsid w:val="064A73D7"/>
    <w:rsid w:val="064E5119"/>
    <w:rsid w:val="0659586C"/>
    <w:rsid w:val="065B7836"/>
    <w:rsid w:val="0661309E"/>
    <w:rsid w:val="066165AE"/>
    <w:rsid w:val="067032E2"/>
    <w:rsid w:val="067B1209"/>
    <w:rsid w:val="06812F53"/>
    <w:rsid w:val="06856661"/>
    <w:rsid w:val="068E19BA"/>
    <w:rsid w:val="068E5516"/>
    <w:rsid w:val="06915006"/>
    <w:rsid w:val="06936FD0"/>
    <w:rsid w:val="06941D93"/>
    <w:rsid w:val="0696086E"/>
    <w:rsid w:val="06A0080C"/>
    <w:rsid w:val="06A47322"/>
    <w:rsid w:val="06A72A7B"/>
    <w:rsid w:val="06A905A2"/>
    <w:rsid w:val="06AE7966"/>
    <w:rsid w:val="06B156A8"/>
    <w:rsid w:val="06B92EFF"/>
    <w:rsid w:val="06B93618"/>
    <w:rsid w:val="06BA630B"/>
    <w:rsid w:val="06BD229F"/>
    <w:rsid w:val="06C23411"/>
    <w:rsid w:val="06C278B5"/>
    <w:rsid w:val="06CE0008"/>
    <w:rsid w:val="06CE1DB6"/>
    <w:rsid w:val="06CE306C"/>
    <w:rsid w:val="06D373CC"/>
    <w:rsid w:val="06D51397"/>
    <w:rsid w:val="06D67EFC"/>
    <w:rsid w:val="06DA4BFF"/>
    <w:rsid w:val="06DD1E44"/>
    <w:rsid w:val="06DD74B2"/>
    <w:rsid w:val="06E15F8D"/>
    <w:rsid w:val="06E31D05"/>
    <w:rsid w:val="06E92E40"/>
    <w:rsid w:val="06ED4932"/>
    <w:rsid w:val="06EE06AA"/>
    <w:rsid w:val="06F37A6F"/>
    <w:rsid w:val="06F51A39"/>
    <w:rsid w:val="06F757B1"/>
    <w:rsid w:val="06F85085"/>
    <w:rsid w:val="06FD269B"/>
    <w:rsid w:val="06FE6B3F"/>
    <w:rsid w:val="07027A18"/>
    <w:rsid w:val="070D4E50"/>
    <w:rsid w:val="07151D6E"/>
    <w:rsid w:val="071D4AEC"/>
    <w:rsid w:val="071D689A"/>
    <w:rsid w:val="072258B7"/>
    <w:rsid w:val="072365A6"/>
    <w:rsid w:val="072732AB"/>
    <w:rsid w:val="07283BBC"/>
    <w:rsid w:val="073065CD"/>
    <w:rsid w:val="07367CF9"/>
    <w:rsid w:val="073C7962"/>
    <w:rsid w:val="07455D9F"/>
    <w:rsid w:val="074958E1"/>
    <w:rsid w:val="074B16CD"/>
    <w:rsid w:val="074B354F"/>
    <w:rsid w:val="074D3623"/>
    <w:rsid w:val="074D53D1"/>
    <w:rsid w:val="074E5043"/>
    <w:rsid w:val="07504551"/>
    <w:rsid w:val="075276EC"/>
    <w:rsid w:val="075819F8"/>
    <w:rsid w:val="07591FC7"/>
    <w:rsid w:val="07593D76"/>
    <w:rsid w:val="07610E7C"/>
    <w:rsid w:val="076D7821"/>
    <w:rsid w:val="076F17EB"/>
    <w:rsid w:val="07723089"/>
    <w:rsid w:val="077E06BA"/>
    <w:rsid w:val="07886409"/>
    <w:rsid w:val="078D1C71"/>
    <w:rsid w:val="078E1545"/>
    <w:rsid w:val="078F32E3"/>
    <w:rsid w:val="0794171E"/>
    <w:rsid w:val="07966D78"/>
    <w:rsid w:val="07983A54"/>
    <w:rsid w:val="079E79DA"/>
    <w:rsid w:val="079F1B8B"/>
    <w:rsid w:val="07A5520D"/>
    <w:rsid w:val="07A82607"/>
    <w:rsid w:val="07A86AAB"/>
    <w:rsid w:val="07AC659B"/>
    <w:rsid w:val="07AE39F0"/>
    <w:rsid w:val="07B35A21"/>
    <w:rsid w:val="07B611C8"/>
    <w:rsid w:val="07BA233A"/>
    <w:rsid w:val="07BD69FF"/>
    <w:rsid w:val="07C05BA3"/>
    <w:rsid w:val="07C17B6D"/>
    <w:rsid w:val="07C37441"/>
    <w:rsid w:val="07CA6288"/>
    <w:rsid w:val="07CD0153"/>
    <w:rsid w:val="07CD6512"/>
    <w:rsid w:val="07D15ABF"/>
    <w:rsid w:val="07D16002"/>
    <w:rsid w:val="07D17DB0"/>
    <w:rsid w:val="07D433FC"/>
    <w:rsid w:val="07D45A45"/>
    <w:rsid w:val="07D63618"/>
    <w:rsid w:val="07D848A8"/>
    <w:rsid w:val="07DB2016"/>
    <w:rsid w:val="07DC1CAA"/>
    <w:rsid w:val="07DD33D3"/>
    <w:rsid w:val="07E06245"/>
    <w:rsid w:val="07E82A69"/>
    <w:rsid w:val="07ED44BE"/>
    <w:rsid w:val="07F615C4"/>
    <w:rsid w:val="07F61F78"/>
    <w:rsid w:val="07F817E1"/>
    <w:rsid w:val="07F87A11"/>
    <w:rsid w:val="07FE66CB"/>
    <w:rsid w:val="080041F1"/>
    <w:rsid w:val="08017F69"/>
    <w:rsid w:val="0803449C"/>
    <w:rsid w:val="080D4B60"/>
    <w:rsid w:val="08114650"/>
    <w:rsid w:val="08161C67"/>
    <w:rsid w:val="081E4FBF"/>
    <w:rsid w:val="08220261"/>
    <w:rsid w:val="08243B12"/>
    <w:rsid w:val="08275C22"/>
    <w:rsid w:val="083223B1"/>
    <w:rsid w:val="0838352D"/>
    <w:rsid w:val="08387E2F"/>
    <w:rsid w:val="083E11BD"/>
    <w:rsid w:val="08420CAE"/>
    <w:rsid w:val="0849203C"/>
    <w:rsid w:val="084C38DA"/>
    <w:rsid w:val="084C7436"/>
    <w:rsid w:val="08585DDB"/>
    <w:rsid w:val="086724C2"/>
    <w:rsid w:val="086C1887"/>
    <w:rsid w:val="0874698D"/>
    <w:rsid w:val="087B531C"/>
    <w:rsid w:val="088210AA"/>
    <w:rsid w:val="0889068B"/>
    <w:rsid w:val="088A346F"/>
    <w:rsid w:val="088C3CD7"/>
    <w:rsid w:val="089A29E2"/>
    <w:rsid w:val="089B6610"/>
    <w:rsid w:val="089D7C92"/>
    <w:rsid w:val="08A76D63"/>
    <w:rsid w:val="08A8306C"/>
    <w:rsid w:val="08AA1318"/>
    <w:rsid w:val="08B03E69"/>
    <w:rsid w:val="08BC0A60"/>
    <w:rsid w:val="08BE5224"/>
    <w:rsid w:val="08CE42EF"/>
    <w:rsid w:val="08D00067"/>
    <w:rsid w:val="08D13DE0"/>
    <w:rsid w:val="08DA03F7"/>
    <w:rsid w:val="08DA07D3"/>
    <w:rsid w:val="08DC4C5E"/>
    <w:rsid w:val="08DE0F36"/>
    <w:rsid w:val="08EB30F3"/>
    <w:rsid w:val="08EC29C7"/>
    <w:rsid w:val="08EE6740"/>
    <w:rsid w:val="08F04293"/>
    <w:rsid w:val="08F655F4"/>
    <w:rsid w:val="08F8136C"/>
    <w:rsid w:val="08F85810"/>
    <w:rsid w:val="08FD4BD5"/>
    <w:rsid w:val="090146C5"/>
    <w:rsid w:val="09051E32"/>
    <w:rsid w:val="09071FE5"/>
    <w:rsid w:val="09095327"/>
    <w:rsid w:val="090B72F2"/>
    <w:rsid w:val="091066B6"/>
    <w:rsid w:val="091361A6"/>
    <w:rsid w:val="09137F54"/>
    <w:rsid w:val="09181A0E"/>
    <w:rsid w:val="091F0FEF"/>
    <w:rsid w:val="091F75ED"/>
    <w:rsid w:val="0921144B"/>
    <w:rsid w:val="09267C87"/>
    <w:rsid w:val="092E2FE0"/>
    <w:rsid w:val="09355C8E"/>
    <w:rsid w:val="09371E95"/>
    <w:rsid w:val="09391A25"/>
    <w:rsid w:val="09414AC1"/>
    <w:rsid w:val="094D790A"/>
    <w:rsid w:val="095F1A31"/>
    <w:rsid w:val="095F3199"/>
    <w:rsid w:val="096B1B3E"/>
    <w:rsid w:val="096C5132"/>
    <w:rsid w:val="097A6225"/>
    <w:rsid w:val="09815E0C"/>
    <w:rsid w:val="09821F29"/>
    <w:rsid w:val="09825231"/>
    <w:rsid w:val="09831C78"/>
    <w:rsid w:val="09862E1C"/>
    <w:rsid w:val="098B0432"/>
    <w:rsid w:val="098D7D07"/>
    <w:rsid w:val="098F1CD1"/>
    <w:rsid w:val="099472E7"/>
    <w:rsid w:val="09970B85"/>
    <w:rsid w:val="099A0675"/>
    <w:rsid w:val="099E3CC2"/>
    <w:rsid w:val="099F3551"/>
    <w:rsid w:val="09A514F4"/>
    <w:rsid w:val="09AB1135"/>
    <w:rsid w:val="09AE35D0"/>
    <w:rsid w:val="09AF5ECF"/>
    <w:rsid w:val="09B23C11"/>
    <w:rsid w:val="09B71227"/>
    <w:rsid w:val="09B776D8"/>
    <w:rsid w:val="09BA160C"/>
    <w:rsid w:val="09BE25B6"/>
    <w:rsid w:val="09BE6112"/>
    <w:rsid w:val="09C120A6"/>
    <w:rsid w:val="09CD0A4B"/>
    <w:rsid w:val="09CD27F9"/>
    <w:rsid w:val="09CD6EB5"/>
    <w:rsid w:val="09D516AE"/>
    <w:rsid w:val="09D65B51"/>
    <w:rsid w:val="09D83256"/>
    <w:rsid w:val="09D9113A"/>
    <w:rsid w:val="09D91F81"/>
    <w:rsid w:val="09E244F6"/>
    <w:rsid w:val="09E3201C"/>
    <w:rsid w:val="09F558AC"/>
    <w:rsid w:val="09F61D50"/>
    <w:rsid w:val="09F671BA"/>
    <w:rsid w:val="0A0015A9"/>
    <w:rsid w:val="0A026946"/>
    <w:rsid w:val="0A0501E5"/>
    <w:rsid w:val="0A0F2E11"/>
    <w:rsid w:val="0A116B8A"/>
    <w:rsid w:val="0A124A21"/>
    <w:rsid w:val="0A124F9F"/>
    <w:rsid w:val="0A1421D6"/>
    <w:rsid w:val="0A150388"/>
    <w:rsid w:val="0A1D70FA"/>
    <w:rsid w:val="0A200529"/>
    <w:rsid w:val="0A2368BD"/>
    <w:rsid w:val="0A257E91"/>
    <w:rsid w:val="0A3463D4"/>
    <w:rsid w:val="0A34760E"/>
    <w:rsid w:val="0A390506"/>
    <w:rsid w:val="0A3B7763"/>
    <w:rsid w:val="0A3F4C50"/>
    <w:rsid w:val="0A40121D"/>
    <w:rsid w:val="0A424F95"/>
    <w:rsid w:val="0A432ABB"/>
    <w:rsid w:val="0A4505E1"/>
    <w:rsid w:val="0A4A537B"/>
    <w:rsid w:val="0A4B7550"/>
    <w:rsid w:val="0A516F86"/>
    <w:rsid w:val="0A56459C"/>
    <w:rsid w:val="0A5922DF"/>
    <w:rsid w:val="0A5A153B"/>
    <w:rsid w:val="0A5C592B"/>
    <w:rsid w:val="0A60366D"/>
    <w:rsid w:val="0A68475A"/>
    <w:rsid w:val="0A6B4970"/>
    <w:rsid w:val="0A7A5500"/>
    <w:rsid w:val="0A7D421F"/>
    <w:rsid w:val="0A7D7D7B"/>
    <w:rsid w:val="0A7E1D45"/>
    <w:rsid w:val="0A805ABD"/>
    <w:rsid w:val="0A877A05"/>
    <w:rsid w:val="0A892BC4"/>
    <w:rsid w:val="0A8D4551"/>
    <w:rsid w:val="0A911A78"/>
    <w:rsid w:val="0A984BB5"/>
    <w:rsid w:val="0AA16A91"/>
    <w:rsid w:val="0AA442E9"/>
    <w:rsid w:val="0AA51080"/>
    <w:rsid w:val="0AA56EB4"/>
    <w:rsid w:val="0AA7304A"/>
    <w:rsid w:val="0AAF1847"/>
    <w:rsid w:val="0AB17A28"/>
    <w:rsid w:val="0AB6328D"/>
    <w:rsid w:val="0ABA2D7D"/>
    <w:rsid w:val="0AC459AA"/>
    <w:rsid w:val="0AD0684C"/>
    <w:rsid w:val="0AD6392F"/>
    <w:rsid w:val="0AD97CBD"/>
    <w:rsid w:val="0ADB2CF4"/>
    <w:rsid w:val="0ADF4592"/>
    <w:rsid w:val="0AE147AE"/>
    <w:rsid w:val="0AE734CA"/>
    <w:rsid w:val="0AF0291D"/>
    <w:rsid w:val="0AF142C5"/>
    <w:rsid w:val="0AFC46F6"/>
    <w:rsid w:val="0AFD0EBC"/>
    <w:rsid w:val="0AFF2E86"/>
    <w:rsid w:val="0B00275A"/>
    <w:rsid w:val="0B030359"/>
    <w:rsid w:val="0B0E30C9"/>
    <w:rsid w:val="0B0F27C0"/>
    <w:rsid w:val="0B17629A"/>
    <w:rsid w:val="0B1E4082"/>
    <w:rsid w:val="0B237943"/>
    <w:rsid w:val="0B2B77D7"/>
    <w:rsid w:val="0B352404"/>
    <w:rsid w:val="0B3949C3"/>
    <w:rsid w:val="0B3D39AE"/>
    <w:rsid w:val="0B416FFB"/>
    <w:rsid w:val="0B4B2E2F"/>
    <w:rsid w:val="0B5200CB"/>
    <w:rsid w:val="0B52745A"/>
    <w:rsid w:val="0B536D2E"/>
    <w:rsid w:val="0B582596"/>
    <w:rsid w:val="0B6251C3"/>
    <w:rsid w:val="0B6665D0"/>
    <w:rsid w:val="0B680A2B"/>
    <w:rsid w:val="0B694D79"/>
    <w:rsid w:val="0B6B22C9"/>
    <w:rsid w:val="0B6D23F5"/>
    <w:rsid w:val="0B6E3131"/>
    <w:rsid w:val="0B7021FC"/>
    <w:rsid w:val="0B792C38"/>
    <w:rsid w:val="0B825D4F"/>
    <w:rsid w:val="0B837613"/>
    <w:rsid w:val="0B845139"/>
    <w:rsid w:val="0B8F617F"/>
    <w:rsid w:val="0B927856"/>
    <w:rsid w:val="0B9326C3"/>
    <w:rsid w:val="0B957346"/>
    <w:rsid w:val="0B974E6D"/>
    <w:rsid w:val="0B9C06D5"/>
    <w:rsid w:val="0BA8707A"/>
    <w:rsid w:val="0BA94BA0"/>
    <w:rsid w:val="0BB772BD"/>
    <w:rsid w:val="0BB877D4"/>
    <w:rsid w:val="0BB93035"/>
    <w:rsid w:val="0BBB5225"/>
    <w:rsid w:val="0BC71D84"/>
    <w:rsid w:val="0BC90BD9"/>
    <w:rsid w:val="0BCB3067"/>
    <w:rsid w:val="0BD47E6F"/>
    <w:rsid w:val="0BD55995"/>
    <w:rsid w:val="0BD936D7"/>
    <w:rsid w:val="0BDE2A9B"/>
    <w:rsid w:val="0BE300B2"/>
    <w:rsid w:val="0BE45BD8"/>
    <w:rsid w:val="0BE4744A"/>
    <w:rsid w:val="0BE81B6C"/>
    <w:rsid w:val="0BEF4CA9"/>
    <w:rsid w:val="0BF40511"/>
    <w:rsid w:val="0BF7590B"/>
    <w:rsid w:val="0C006EB6"/>
    <w:rsid w:val="0C0369A6"/>
    <w:rsid w:val="0C1464BD"/>
    <w:rsid w:val="0C193AD3"/>
    <w:rsid w:val="0C211D10"/>
    <w:rsid w:val="0C232BA4"/>
    <w:rsid w:val="0C27325E"/>
    <w:rsid w:val="0C281F69"/>
    <w:rsid w:val="0C2A0860"/>
    <w:rsid w:val="0C2A3AF7"/>
    <w:rsid w:val="0C2D2773"/>
    <w:rsid w:val="0C2D57D1"/>
    <w:rsid w:val="0C2E01F6"/>
    <w:rsid w:val="0C3152C1"/>
    <w:rsid w:val="0C3460F8"/>
    <w:rsid w:val="0C3651B9"/>
    <w:rsid w:val="0C3A5FD8"/>
    <w:rsid w:val="0C3B7EEE"/>
    <w:rsid w:val="0C3D3B65"/>
    <w:rsid w:val="0C401769"/>
    <w:rsid w:val="0C4C0A7C"/>
    <w:rsid w:val="0C4C219F"/>
    <w:rsid w:val="0C4D19CF"/>
    <w:rsid w:val="0C542D5E"/>
    <w:rsid w:val="0C553CA1"/>
    <w:rsid w:val="0C57284E"/>
    <w:rsid w:val="0C5745FC"/>
    <w:rsid w:val="0C590CE4"/>
    <w:rsid w:val="0C5C7E64"/>
    <w:rsid w:val="0C62191E"/>
    <w:rsid w:val="0C650D4E"/>
    <w:rsid w:val="0C686809"/>
    <w:rsid w:val="0C6C62F9"/>
    <w:rsid w:val="0C6F5DE9"/>
    <w:rsid w:val="0C7156BE"/>
    <w:rsid w:val="0C756E34"/>
    <w:rsid w:val="0C7B02EA"/>
    <w:rsid w:val="0C801DA5"/>
    <w:rsid w:val="0C80768D"/>
    <w:rsid w:val="0C853BDD"/>
    <w:rsid w:val="0C880C59"/>
    <w:rsid w:val="0C90345F"/>
    <w:rsid w:val="0C947974"/>
    <w:rsid w:val="0C9C64B3"/>
    <w:rsid w:val="0CAB508B"/>
    <w:rsid w:val="0CAB6D14"/>
    <w:rsid w:val="0CAD06C0"/>
    <w:rsid w:val="0CB11F5E"/>
    <w:rsid w:val="0CB33F28"/>
    <w:rsid w:val="0CB437FC"/>
    <w:rsid w:val="0CB832EC"/>
    <w:rsid w:val="0CB953C7"/>
    <w:rsid w:val="0CBE6C92"/>
    <w:rsid w:val="0CBF688D"/>
    <w:rsid w:val="0CC46135"/>
    <w:rsid w:val="0CC7352F"/>
    <w:rsid w:val="0CCA1272"/>
    <w:rsid w:val="0CCA74C4"/>
    <w:rsid w:val="0CD914B5"/>
    <w:rsid w:val="0CDE6ACB"/>
    <w:rsid w:val="0CED5EFA"/>
    <w:rsid w:val="0CF307C8"/>
    <w:rsid w:val="0CF4009D"/>
    <w:rsid w:val="0CF4170C"/>
    <w:rsid w:val="0CFD303A"/>
    <w:rsid w:val="0D006A41"/>
    <w:rsid w:val="0D0504FC"/>
    <w:rsid w:val="0D0522AA"/>
    <w:rsid w:val="0D0550BE"/>
    <w:rsid w:val="0D093B48"/>
    <w:rsid w:val="0D14556D"/>
    <w:rsid w:val="0D1471C2"/>
    <w:rsid w:val="0D1555EB"/>
    <w:rsid w:val="0D156991"/>
    <w:rsid w:val="0D1F15BD"/>
    <w:rsid w:val="0D246F57"/>
    <w:rsid w:val="0D2564A8"/>
    <w:rsid w:val="0D27015E"/>
    <w:rsid w:val="0D2A1D10"/>
    <w:rsid w:val="0D2B4D1C"/>
    <w:rsid w:val="0D2C3CDA"/>
    <w:rsid w:val="0D2C7836"/>
    <w:rsid w:val="0D333E7B"/>
    <w:rsid w:val="0D35493D"/>
    <w:rsid w:val="0D38267F"/>
    <w:rsid w:val="0D411534"/>
    <w:rsid w:val="0D4508F8"/>
    <w:rsid w:val="0D4F1296"/>
    <w:rsid w:val="0D5002C6"/>
    <w:rsid w:val="0D562B05"/>
    <w:rsid w:val="0D5648B3"/>
    <w:rsid w:val="0D570D57"/>
    <w:rsid w:val="0D5A0848"/>
    <w:rsid w:val="0D5D2504"/>
    <w:rsid w:val="0D5F5E5E"/>
    <w:rsid w:val="0D697D47"/>
    <w:rsid w:val="0D6D057B"/>
    <w:rsid w:val="0D70006B"/>
    <w:rsid w:val="0D705975"/>
    <w:rsid w:val="0D725B91"/>
    <w:rsid w:val="0D73509A"/>
    <w:rsid w:val="0D7511DD"/>
    <w:rsid w:val="0D757126"/>
    <w:rsid w:val="0D7C30E6"/>
    <w:rsid w:val="0D7E609A"/>
    <w:rsid w:val="0D7F02AE"/>
    <w:rsid w:val="0D817B82"/>
    <w:rsid w:val="0D837D9E"/>
    <w:rsid w:val="0D86163D"/>
    <w:rsid w:val="0D895EB2"/>
    <w:rsid w:val="0D921D8F"/>
    <w:rsid w:val="0D927FE1"/>
    <w:rsid w:val="0D941F14"/>
    <w:rsid w:val="0D973E0E"/>
    <w:rsid w:val="0D98311E"/>
    <w:rsid w:val="0D9A0C44"/>
    <w:rsid w:val="0D9C30EB"/>
    <w:rsid w:val="0D9D0734"/>
    <w:rsid w:val="0DA441DC"/>
    <w:rsid w:val="0DAE46EF"/>
    <w:rsid w:val="0DB02216"/>
    <w:rsid w:val="0DB55A7E"/>
    <w:rsid w:val="0DB60191"/>
    <w:rsid w:val="0DB717F6"/>
    <w:rsid w:val="0DB77A48"/>
    <w:rsid w:val="0DB8731C"/>
    <w:rsid w:val="0DC34AA9"/>
    <w:rsid w:val="0DC379D7"/>
    <w:rsid w:val="0DC65EDD"/>
    <w:rsid w:val="0DC7755F"/>
    <w:rsid w:val="0DCB52A1"/>
    <w:rsid w:val="0DD028B8"/>
    <w:rsid w:val="0DD610C9"/>
    <w:rsid w:val="0DDF2AFB"/>
    <w:rsid w:val="0DE84DA4"/>
    <w:rsid w:val="0DE95727"/>
    <w:rsid w:val="0DF26CD2"/>
    <w:rsid w:val="0DFE5677"/>
    <w:rsid w:val="0DFE7425"/>
    <w:rsid w:val="0DFF47ED"/>
    <w:rsid w:val="0E007979"/>
    <w:rsid w:val="0E012A71"/>
    <w:rsid w:val="0E034A3B"/>
    <w:rsid w:val="0E0F1632"/>
    <w:rsid w:val="0E1053AA"/>
    <w:rsid w:val="0E107158"/>
    <w:rsid w:val="0E15476E"/>
    <w:rsid w:val="0E1956B3"/>
    <w:rsid w:val="0E197DBB"/>
    <w:rsid w:val="0E1A1D85"/>
    <w:rsid w:val="0E1A28BF"/>
    <w:rsid w:val="0E1A3500"/>
    <w:rsid w:val="0E1A45F7"/>
    <w:rsid w:val="0E1B7FD7"/>
    <w:rsid w:val="0E1C5AFD"/>
    <w:rsid w:val="0E211365"/>
    <w:rsid w:val="0E2214E3"/>
    <w:rsid w:val="0E2449B2"/>
    <w:rsid w:val="0E2774A7"/>
    <w:rsid w:val="0E296B84"/>
    <w:rsid w:val="0E323572"/>
    <w:rsid w:val="0E372DD1"/>
    <w:rsid w:val="0E3C4A79"/>
    <w:rsid w:val="0E3F3599"/>
    <w:rsid w:val="0E417312"/>
    <w:rsid w:val="0E423137"/>
    <w:rsid w:val="0E43308A"/>
    <w:rsid w:val="0E4A0A35"/>
    <w:rsid w:val="0E4F1A2E"/>
    <w:rsid w:val="0E63372C"/>
    <w:rsid w:val="0E64514C"/>
    <w:rsid w:val="0E680D42"/>
    <w:rsid w:val="0E682AF0"/>
    <w:rsid w:val="0E695115"/>
    <w:rsid w:val="0E6A6868"/>
    <w:rsid w:val="0E6B438E"/>
    <w:rsid w:val="0E7616B1"/>
    <w:rsid w:val="0E7771D7"/>
    <w:rsid w:val="0E792F4F"/>
    <w:rsid w:val="0E7B4F50"/>
    <w:rsid w:val="0E83792A"/>
    <w:rsid w:val="0E8474DE"/>
    <w:rsid w:val="0E8764B8"/>
    <w:rsid w:val="0E89077F"/>
    <w:rsid w:val="0E8A6F0A"/>
    <w:rsid w:val="0E8F4521"/>
    <w:rsid w:val="0EA378E1"/>
    <w:rsid w:val="0EAE0A7E"/>
    <w:rsid w:val="0EAE338A"/>
    <w:rsid w:val="0EB146BF"/>
    <w:rsid w:val="0EB21FBD"/>
    <w:rsid w:val="0EB45D35"/>
    <w:rsid w:val="0EB51BBC"/>
    <w:rsid w:val="0EB9334C"/>
    <w:rsid w:val="0EBE6BB4"/>
    <w:rsid w:val="0EC00B7E"/>
    <w:rsid w:val="0EC0292C"/>
    <w:rsid w:val="0EC046DA"/>
    <w:rsid w:val="0EC20452"/>
    <w:rsid w:val="0EC77D21"/>
    <w:rsid w:val="0ECA37AB"/>
    <w:rsid w:val="0ECA7307"/>
    <w:rsid w:val="0ECE329B"/>
    <w:rsid w:val="0ED168E7"/>
    <w:rsid w:val="0ED40186"/>
    <w:rsid w:val="0ED4086D"/>
    <w:rsid w:val="0ED87C76"/>
    <w:rsid w:val="0EE02FCE"/>
    <w:rsid w:val="0EE4793C"/>
    <w:rsid w:val="0EEE7499"/>
    <w:rsid w:val="0EEF3211"/>
    <w:rsid w:val="0EF6634E"/>
    <w:rsid w:val="0EF80318"/>
    <w:rsid w:val="0EFB3964"/>
    <w:rsid w:val="0F0E7B3C"/>
    <w:rsid w:val="0F0F7410"/>
    <w:rsid w:val="0F13413A"/>
    <w:rsid w:val="0F191A60"/>
    <w:rsid w:val="0F256C33"/>
    <w:rsid w:val="0F2729AB"/>
    <w:rsid w:val="0F274759"/>
    <w:rsid w:val="0F2A5FF8"/>
    <w:rsid w:val="0F2C6214"/>
    <w:rsid w:val="0F2C7FC2"/>
    <w:rsid w:val="0F2D1010"/>
    <w:rsid w:val="0F2F360E"/>
    <w:rsid w:val="0F365E10"/>
    <w:rsid w:val="0F37178C"/>
    <w:rsid w:val="0F3A26DF"/>
    <w:rsid w:val="0F3D5D2B"/>
    <w:rsid w:val="0F3F7CF5"/>
    <w:rsid w:val="0F421593"/>
    <w:rsid w:val="0F49111A"/>
    <w:rsid w:val="0F4A0448"/>
    <w:rsid w:val="0F4E32A6"/>
    <w:rsid w:val="0F517A28"/>
    <w:rsid w:val="0F5337A0"/>
    <w:rsid w:val="0F59068B"/>
    <w:rsid w:val="0F6459AD"/>
    <w:rsid w:val="0F6838C7"/>
    <w:rsid w:val="0F6B0AEA"/>
    <w:rsid w:val="0F6C6610"/>
    <w:rsid w:val="0F7756E1"/>
    <w:rsid w:val="0F796544"/>
    <w:rsid w:val="0F7C7641"/>
    <w:rsid w:val="0F7E3A23"/>
    <w:rsid w:val="0F815DA9"/>
    <w:rsid w:val="0F87344A"/>
    <w:rsid w:val="0F8B4CE8"/>
    <w:rsid w:val="0F9067A2"/>
    <w:rsid w:val="0F931DEF"/>
    <w:rsid w:val="0F9D4A1B"/>
    <w:rsid w:val="0FAB538A"/>
    <w:rsid w:val="0FAC4C5F"/>
    <w:rsid w:val="0FB26719"/>
    <w:rsid w:val="0FB57FB7"/>
    <w:rsid w:val="0FB954F1"/>
    <w:rsid w:val="0FBF0E36"/>
    <w:rsid w:val="0FBF1601"/>
    <w:rsid w:val="0FC644DC"/>
    <w:rsid w:val="0FC8192D"/>
    <w:rsid w:val="0FC85F3C"/>
    <w:rsid w:val="0FC93A62"/>
    <w:rsid w:val="0FCC4E8D"/>
    <w:rsid w:val="0FD0094D"/>
    <w:rsid w:val="0FD05DD9"/>
    <w:rsid w:val="0FD43E0E"/>
    <w:rsid w:val="0FDE750E"/>
    <w:rsid w:val="0FE12B5A"/>
    <w:rsid w:val="0FE4264A"/>
    <w:rsid w:val="0FE505F3"/>
    <w:rsid w:val="0FE97C61"/>
    <w:rsid w:val="0FEF171B"/>
    <w:rsid w:val="0FF07241"/>
    <w:rsid w:val="0FF30FC5"/>
    <w:rsid w:val="0FF87EA4"/>
    <w:rsid w:val="0FFC3E38"/>
    <w:rsid w:val="10070893"/>
    <w:rsid w:val="10093E5F"/>
    <w:rsid w:val="1016361E"/>
    <w:rsid w:val="1017657C"/>
    <w:rsid w:val="10190546"/>
    <w:rsid w:val="1021701D"/>
    <w:rsid w:val="10240C99"/>
    <w:rsid w:val="10246EEB"/>
    <w:rsid w:val="10284C2D"/>
    <w:rsid w:val="10394D6A"/>
    <w:rsid w:val="103D747C"/>
    <w:rsid w:val="103F5AD3"/>
    <w:rsid w:val="104355C3"/>
    <w:rsid w:val="104D01F0"/>
    <w:rsid w:val="10501A8E"/>
    <w:rsid w:val="10524F6F"/>
    <w:rsid w:val="105772C0"/>
    <w:rsid w:val="105C0433"/>
    <w:rsid w:val="105C6685"/>
    <w:rsid w:val="10637A94"/>
    <w:rsid w:val="10692C75"/>
    <w:rsid w:val="106A6FF4"/>
    <w:rsid w:val="106D0892"/>
    <w:rsid w:val="10710382"/>
    <w:rsid w:val="10725EA8"/>
    <w:rsid w:val="1077526D"/>
    <w:rsid w:val="1078371F"/>
    <w:rsid w:val="107B4D5D"/>
    <w:rsid w:val="108D2CE2"/>
    <w:rsid w:val="108D4A90"/>
    <w:rsid w:val="109202F8"/>
    <w:rsid w:val="109951E3"/>
    <w:rsid w:val="109A05F6"/>
    <w:rsid w:val="109A0F5B"/>
    <w:rsid w:val="109C3875"/>
    <w:rsid w:val="10A047C3"/>
    <w:rsid w:val="10A1280F"/>
    <w:rsid w:val="10A67900"/>
    <w:rsid w:val="10AB6393"/>
    <w:rsid w:val="10AC13BA"/>
    <w:rsid w:val="10B0361A"/>
    <w:rsid w:val="10B25724"/>
    <w:rsid w:val="10B32B01"/>
    <w:rsid w:val="10BB784F"/>
    <w:rsid w:val="10C04426"/>
    <w:rsid w:val="10C83D1A"/>
    <w:rsid w:val="10CA5CE4"/>
    <w:rsid w:val="10CF32FA"/>
    <w:rsid w:val="10D053AB"/>
    <w:rsid w:val="10D17073"/>
    <w:rsid w:val="10D40911"/>
    <w:rsid w:val="10D67504"/>
    <w:rsid w:val="10D75D0B"/>
    <w:rsid w:val="10DA04A5"/>
    <w:rsid w:val="10DB706F"/>
    <w:rsid w:val="10E03BE3"/>
    <w:rsid w:val="10E50428"/>
    <w:rsid w:val="10E723F2"/>
    <w:rsid w:val="10E741A0"/>
    <w:rsid w:val="10EC2AC6"/>
    <w:rsid w:val="10ED552F"/>
    <w:rsid w:val="10EE19D3"/>
    <w:rsid w:val="10F13271"/>
    <w:rsid w:val="10F1501F"/>
    <w:rsid w:val="10FB40F0"/>
    <w:rsid w:val="10FD2745"/>
    <w:rsid w:val="110034B4"/>
    <w:rsid w:val="11052E8A"/>
    <w:rsid w:val="11056D1C"/>
    <w:rsid w:val="110805BA"/>
    <w:rsid w:val="110A7E8F"/>
    <w:rsid w:val="110C3C07"/>
    <w:rsid w:val="110E2A64"/>
    <w:rsid w:val="11110CB1"/>
    <w:rsid w:val="111E6A7D"/>
    <w:rsid w:val="11230F50"/>
    <w:rsid w:val="112A6783"/>
    <w:rsid w:val="112B4874"/>
    <w:rsid w:val="112D2373"/>
    <w:rsid w:val="112F5B47"/>
    <w:rsid w:val="11302AA6"/>
    <w:rsid w:val="113238F3"/>
    <w:rsid w:val="113340D7"/>
    <w:rsid w:val="113504F7"/>
    <w:rsid w:val="11390ABC"/>
    <w:rsid w:val="113F222E"/>
    <w:rsid w:val="114809B7"/>
    <w:rsid w:val="114943D9"/>
    <w:rsid w:val="114D134F"/>
    <w:rsid w:val="11592BC4"/>
    <w:rsid w:val="116003F7"/>
    <w:rsid w:val="116233EF"/>
    <w:rsid w:val="116457F1"/>
    <w:rsid w:val="11687430"/>
    <w:rsid w:val="11687684"/>
    <w:rsid w:val="116C5D79"/>
    <w:rsid w:val="11731ED8"/>
    <w:rsid w:val="117619C8"/>
    <w:rsid w:val="11777122"/>
    <w:rsid w:val="117F6ACF"/>
    <w:rsid w:val="118440E5"/>
    <w:rsid w:val="11847C41"/>
    <w:rsid w:val="11897A49"/>
    <w:rsid w:val="118D6492"/>
    <w:rsid w:val="119333A6"/>
    <w:rsid w:val="11A1719D"/>
    <w:rsid w:val="11A2456B"/>
    <w:rsid w:val="11A402E3"/>
    <w:rsid w:val="11A55E09"/>
    <w:rsid w:val="11A82FBB"/>
    <w:rsid w:val="11AB75A7"/>
    <w:rsid w:val="11B85B3D"/>
    <w:rsid w:val="11BB1392"/>
    <w:rsid w:val="11C40985"/>
    <w:rsid w:val="11C73FD2"/>
    <w:rsid w:val="11D02E86"/>
    <w:rsid w:val="11D0732A"/>
    <w:rsid w:val="11D861DF"/>
    <w:rsid w:val="11DF3D09"/>
    <w:rsid w:val="11E30DCB"/>
    <w:rsid w:val="11E64458"/>
    <w:rsid w:val="11E710E0"/>
    <w:rsid w:val="11E903EC"/>
    <w:rsid w:val="11EC57E6"/>
    <w:rsid w:val="11F0177A"/>
    <w:rsid w:val="11F052D6"/>
    <w:rsid w:val="11F72B09"/>
    <w:rsid w:val="11FA6155"/>
    <w:rsid w:val="12015736"/>
    <w:rsid w:val="120174E4"/>
    <w:rsid w:val="12051118"/>
    <w:rsid w:val="12062D4C"/>
    <w:rsid w:val="12105979"/>
    <w:rsid w:val="1218482D"/>
    <w:rsid w:val="122338FE"/>
    <w:rsid w:val="1226519C"/>
    <w:rsid w:val="122A4C8C"/>
    <w:rsid w:val="122B630F"/>
    <w:rsid w:val="1233153B"/>
    <w:rsid w:val="123A47A4"/>
    <w:rsid w:val="123C49C0"/>
    <w:rsid w:val="123D6042"/>
    <w:rsid w:val="124617BC"/>
    <w:rsid w:val="12494B6A"/>
    <w:rsid w:val="124D0D21"/>
    <w:rsid w:val="12511B36"/>
    <w:rsid w:val="125F420A"/>
    <w:rsid w:val="126029A5"/>
    <w:rsid w:val="126161D4"/>
    <w:rsid w:val="126B2BAF"/>
    <w:rsid w:val="126D2DCB"/>
    <w:rsid w:val="126E366F"/>
    <w:rsid w:val="12751C80"/>
    <w:rsid w:val="12767ED2"/>
    <w:rsid w:val="1278528D"/>
    <w:rsid w:val="127D1B2A"/>
    <w:rsid w:val="127E0B34"/>
    <w:rsid w:val="127F665A"/>
    <w:rsid w:val="12870DC9"/>
    <w:rsid w:val="128B14A3"/>
    <w:rsid w:val="12922832"/>
    <w:rsid w:val="12987EB7"/>
    <w:rsid w:val="1299771C"/>
    <w:rsid w:val="129C1FAB"/>
    <w:rsid w:val="12A242C4"/>
    <w:rsid w:val="12A731F1"/>
    <w:rsid w:val="12AA7B7B"/>
    <w:rsid w:val="12B216E7"/>
    <w:rsid w:val="12B74046"/>
    <w:rsid w:val="12CD73C6"/>
    <w:rsid w:val="12CF1390"/>
    <w:rsid w:val="12D22C2E"/>
    <w:rsid w:val="12D469A6"/>
    <w:rsid w:val="12D76496"/>
    <w:rsid w:val="12DD36F8"/>
    <w:rsid w:val="12DE7825"/>
    <w:rsid w:val="12DF680F"/>
    <w:rsid w:val="12E017EF"/>
    <w:rsid w:val="12E27315"/>
    <w:rsid w:val="12E4180D"/>
    <w:rsid w:val="12E60488"/>
    <w:rsid w:val="12EA6440"/>
    <w:rsid w:val="12EC17FE"/>
    <w:rsid w:val="12ED005B"/>
    <w:rsid w:val="12EF558E"/>
    <w:rsid w:val="12EF7AF8"/>
    <w:rsid w:val="12F232D0"/>
    <w:rsid w:val="12F26E2C"/>
    <w:rsid w:val="12F47048"/>
    <w:rsid w:val="12F72695"/>
    <w:rsid w:val="12F901BB"/>
    <w:rsid w:val="12F9640D"/>
    <w:rsid w:val="12FD60C7"/>
    <w:rsid w:val="12FE1C75"/>
    <w:rsid w:val="1300779B"/>
    <w:rsid w:val="13036A8B"/>
    <w:rsid w:val="130631D2"/>
    <w:rsid w:val="130B7EEE"/>
    <w:rsid w:val="130F5C30"/>
    <w:rsid w:val="131411AB"/>
    <w:rsid w:val="13165211"/>
    <w:rsid w:val="13187CB0"/>
    <w:rsid w:val="131C06A6"/>
    <w:rsid w:val="13250FB0"/>
    <w:rsid w:val="132631C9"/>
    <w:rsid w:val="13313DF9"/>
    <w:rsid w:val="13367661"/>
    <w:rsid w:val="1340403C"/>
    <w:rsid w:val="134358DA"/>
    <w:rsid w:val="134753CA"/>
    <w:rsid w:val="13541895"/>
    <w:rsid w:val="136441CE"/>
    <w:rsid w:val="136F4921"/>
    <w:rsid w:val="13702B73"/>
    <w:rsid w:val="1373619A"/>
    <w:rsid w:val="13767A5D"/>
    <w:rsid w:val="137837D5"/>
    <w:rsid w:val="138142DF"/>
    <w:rsid w:val="13833F28"/>
    <w:rsid w:val="13857BA2"/>
    <w:rsid w:val="13862CCC"/>
    <w:rsid w:val="1386762D"/>
    <w:rsid w:val="138E4DA7"/>
    <w:rsid w:val="138E5DF7"/>
    <w:rsid w:val="13900351"/>
    <w:rsid w:val="13954387"/>
    <w:rsid w:val="13960100"/>
    <w:rsid w:val="139D5CF1"/>
    <w:rsid w:val="13A26AA4"/>
    <w:rsid w:val="13A3635A"/>
    <w:rsid w:val="13A426E7"/>
    <w:rsid w:val="13A97E33"/>
    <w:rsid w:val="13B46AA4"/>
    <w:rsid w:val="13BB36C2"/>
    <w:rsid w:val="13C50A3B"/>
    <w:rsid w:val="13C702B9"/>
    <w:rsid w:val="13CA1B57"/>
    <w:rsid w:val="13CC1070"/>
    <w:rsid w:val="13CF716E"/>
    <w:rsid w:val="13D50C28"/>
    <w:rsid w:val="13D85AAA"/>
    <w:rsid w:val="13D9378D"/>
    <w:rsid w:val="13DB6FB8"/>
    <w:rsid w:val="13E7259A"/>
    <w:rsid w:val="13EA2243"/>
    <w:rsid w:val="13F6294C"/>
    <w:rsid w:val="13F90B03"/>
    <w:rsid w:val="13FD3CDB"/>
    <w:rsid w:val="14011A1D"/>
    <w:rsid w:val="14025462"/>
    <w:rsid w:val="1403484E"/>
    <w:rsid w:val="140B1D9B"/>
    <w:rsid w:val="14103A0E"/>
    <w:rsid w:val="14107EB2"/>
    <w:rsid w:val="14117786"/>
    <w:rsid w:val="14186D67"/>
    <w:rsid w:val="141B0788"/>
    <w:rsid w:val="141B27E4"/>
    <w:rsid w:val="14213E6D"/>
    <w:rsid w:val="14270D58"/>
    <w:rsid w:val="14292D22"/>
    <w:rsid w:val="142B0848"/>
    <w:rsid w:val="142D2812"/>
    <w:rsid w:val="142E32FB"/>
    <w:rsid w:val="142E48AC"/>
    <w:rsid w:val="14394194"/>
    <w:rsid w:val="143A6CDD"/>
    <w:rsid w:val="143C4803"/>
    <w:rsid w:val="143D5520"/>
    <w:rsid w:val="1444190A"/>
    <w:rsid w:val="14445DAD"/>
    <w:rsid w:val="144731A8"/>
    <w:rsid w:val="144813FA"/>
    <w:rsid w:val="144D6A10"/>
    <w:rsid w:val="145F4995"/>
    <w:rsid w:val="14634486"/>
    <w:rsid w:val="14771CDF"/>
    <w:rsid w:val="147860A8"/>
    <w:rsid w:val="147A532B"/>
    <w:rsid w:val="147E27A5"/>
    <w:rsid w:val="148443FC"/>
    <w:rsid w:val="14877923"/>
    <w:rsid w:val="148D45F4"/>
    <w:rsid w:val="14900FF3"/>
    <w:rsid w:val="149363ED"/>
    <w:rsid w:val="1497412F"/>
    <w:rsid w:val="14993714"/>
    <w:rsid w:val="149C1746"/>
    <w:rsid w:val="149F1820"/>
    <w:rsid w:val="149F2FE4"/>
    <w:rsid w:val="14A10CE5"/>
    <w:rsid w:val="14A405FA"/>
    <w:rsid w:val="14A64372"/>
    <w:rsid w:val="14A800EA"/>
    <w:rsid w:val="14A80A0E"/>
    <w:rsid w:val="14B06F9F"/>
    <w:rsid w:val="14B46A8F"/>
    <w:rsid w:val="14B505E3"/>
    <w:rsid w:val="14B95E54"/>
    <w:rsid w:val="14C44852"/>
    <w:rsid w:val="14C96593"/>
    <w:rsid w:val="14CD5DA3"/>
    <w:rsid w:val="14D26F15"/>
    <w:rsid w:val="14EA0703"/>
    <w:rsid w:val="14F15E1C"/>
    <w:rsid w:val="14F57FE3"/>
    <w:rsid w:val="14F72E20"/>
    <w:rsid w:val="150A7730"/>
    <w:rsid w:val="151169CA"/>
    <w:rsid w:val="15194B44"/>
    <w:rsid w:val="151A3F0B"/>
    <w:rsid w:val="15202377"/>
    <w:rsid w:val="153A26E7"/>
    <w:rsid w:val="154107F7"/>
    <w:rsid w:val="15451DDD"/>
    <w:rsid w:val="15452A4F"/>
    <w:rsid w:val="15483CA3"/>
    <w:rsid w:val="154A2F50"/>
    <w:rsid w:val="154A73F4"/>
    <w:rsid w:val="15524A1D"/>
    <w:rsid w:val="15537E34"/>
    <w:rsid w:val="1554409C"/>
    <w:rsid w:val="15567B46"/>
    <w:rsid w:val="155B33AF"/>
    <w:rsid w:val="155D688F"/>
    <w:rsid w:val="155E2E9F"/>
    <w:rsid w:val="156009C5"/>
    <w:rsid w:val="15632263"/>
    <w:rsid w:val="156A3853"/>
    <w:rsid w:val="157B135B"/>
    <w:rsid w:val="157E4A5E"/>
    <w:rsid w:val="15806971"/>
    <w:rsid w:val="1582093B"/>
    <w:rsid w:val="15836462"/>
    <w:rsid w:val="158906BB"/>
    <w:rsid w:val="15897F1C"/>
    <w:rsid w:val="15917210"/>
    <w:rsid w:val="159643E7"/>
    <w:rsid w:val="15976156"/>
    <w:rsid w:val="159B6AEE"/>
    <w:rsid w:val="15A941B8"/>
    <w:rsid w:val="15B075C6"/>
    <w:rsid w:val="15B46D86"/>
    <w:rsid w:val="15B825AF"/>
    <w:rsid w:val="15BB209F"/>
    <w:rsid w:val="15BB3E4D"/>
    <w:rsid w:val="15C471A6"/>
    <w:rsid w:val="15CF04E4"/>
    <w:rsid w:val="15E11B06"/>
    <w:rsid w:val="15E63175"/>
    <w:rsid w:val="15EC4007"/>
    <w:rsid w:val="15FD6214"/>
    <w:rsid w:val="15FD6410"/>
    <w:rsid w:val="15FF5E46"/>
    <w:rsid w:val="16021A7C"/>
    <w:rsid w:val="160475A2"/>
    <w:rsid w:val="160A6A90"/>
    <w:rsid w:val="160B0931"/>
    <w:rsid w:val="161361DE"/>
    <w:rsid w:val="161426C7"/>
    <w:rsid w:val="16143C3C"/>
    <w:rsid w:val="1618304E"/>
    <w:rsid w:val="161C28E0"/>
    <w:rsid w:val="162E461F"/>
    <w:rsid w:val="163065E9"/>
    <w:rsid w:val="163F682C"/>
    <w:rsid w:val="164200CB"/>
    <w:rsid w:val="1642631D"/>
    <w:rsid w:val="16442095"/>
    <w:rsid w:val="164833AF"/>
    <w:rsid w:val="164C04ED"/>
    <w:rsid w:val="164D0F49"/>
    <w:rsid w:val="164D719B"/>
    <w:rsid w:val="1652768E"/>
    <w:rsid w:val="16534086"/>
    <w:rsid w:val="16544222"/>
    <w:rsid w:val="16546845"/>
    <w:rsid w:val="16565924"/>
    <w:rsid w:val="16591BC5"/>
    <w:rsid w:val="16596B51"/>
    <w:rsid w:val="16691AFB"/>
    <w:rsid w:val="166C4E41"/>
    <w:rsid w:val="166E331E"/>
    <w:rsid w:val="16781D3E"/>
    <w:rsid w:val="167B3A91"/>
    <w:rsid w:val="167E4F7B"/>
    <w:rsid w:val="16810BF3"/>
    <w:rsid w:val="168120B7"/>
    <w:rsid w:val="16816E45"/>
    <w:rsid w:val="16840A70"/>
    <w:rsid w:val="168B305D"/>
    <w:rsid w:val="168F66FB"/>
    <w:rsid w:val="16924BAE"/>
    <w:rsid w:val="169B1CC8"/>
    <w:rsid w:val="169B5218"/>
    <w:rsid w:val="169D782C"/>
    <w:rsid w:val="169E79F7"/>
    <w:rsid w:val="16A56638"/>
    <w:rsid w:val="16A619B3"/>
    <w:rsid w:val="16A62408"/>
    <w:rsid w:val="16B66F43"/>
    <w:rsid w:val="16BE3BF5"/>
    <w:rsid w:val="16C17241"/>
    <w:rsid w:val="16C3745D"/>
    <w:rsid w:val="16C62AAA"/>
    <w:rsid w:val="16CB6312"/>
    <w:rsid w:val="16D72F09"/>
    <w:rsid w:val="16D927DD"/>
    <w:rsid w:val="16DA6555"/>
    <w:rsid w:val="16E318AE"/>
    <w:rsid w:val="16EB3764"/>
    <w:rsid w:val="16EF3DAF"/>
    <w:rsid w:val="16F94C2D"/>
    <w:rsid w:val="16FC471D"/>
    <w:rsid w:val="16FE3FF2"/>
    <w:rsid w:val="17005FBC"/>
    <w:rsid w:val="17017F86"/>
    <w:rsid w:val="17033CFE"/>
    <w:rsid w:val="170447DA"/>
    <w:rsid w:val="17045380"/>
    <w:rsid w:val="170535D2"/>
    <w:rsid w:val="1706734A"/>
    <w:rsid w:val="170F5E90"/>
    <w:rsid w:val="1716283B"/>
    <w:rsid w:val="17180C70"/>
    <w:rsid w:val="171E28E6"/>
    <w:rsid w:val="17215F32"/>
    <w:rsid w:val="172516D9"/>
    <w:rsid w:val="17283764"/>
    <w:rsid w:val="17292121"/>
    <w:rsid w:val="173159F1"/>
    <w:rsid w:val="17342109"/>
    <w:rsid w:val="17384B04"/>
    <w:rsid w:val="1739327C"/>
    <w:rsid w:val="173E0892"/>
    <w:rsid w:val="1741112D"/>
    <w:rsid w:val="174B2FAF"/>
    <w:rsid w:val="174C1B02"/>
    <w:rsid w:val="174D31CB"/>
    <w:rsid w:val="175005C5"/>
    <w:rsid w:val="17551314"/>
    <w:rsid w:val="175B58E8"/>
    <w:rsid w:val="175D602C"/>
    <w:rsid w:val="175E7186"/>
    <w:rsid w:val="17620A24"/>
    <w:rsid w:val="176C3651"/>
    <w:rsid w:val="176D73C9"/>
    <w:rsid w:val="17726EEA"/>
    <w:rsid w:val="177779D6"/>
    <w:rsid w:val="177E40C4"/>
    <w:rsid w:val="1787048B"/>
    <w:rsid w:val="17884203"/>
    <w:rsid w:val="17914E66"/>
    <w:rsid w:val="17926BD2"/>
    <w:rsid w:val="17942BA8"/>
    <w:rsid w:val="17954360"/>
    <w:rsid w:val="179606CE"/>
    <w:rsid w:val="179C49C1"/>
    <w:rsid w:val="179E3A27"/>
    <w:rsid w:val="17A252C5"/>
    <w:rsid w:val="17A32DEB"/>
    <w:rsid w:val="17AC6144"/>
    <w:rsid w:val="17B31280"/>
    <w:rsid w:val="17B44FF8"/>
    <w:rsid w:val="17B46632"/>
    <w:rsid w:val="17B51F36"/>
    <w:rsid w:val="17B62B1E"/>
    <w:rsid w:val="17BF5E77"/>
    <w:rsid w:val="17C70888"/>
    <w:rsid w:val="17C82BCE"/>
    <w:rsid w:val="17C918ED"/>
    <w:rsid w:val="17CA65CA"/>
    <w:rsid w:val="17DD62FD"/>
    <w:rsid w:val="17EA38DE"/>
    <w:rsid w:val="17EE050A"/>
    <w:rsid w:val="17EF7DDE"/>
    <w:rsid w:val="17F4474B"/>
    <w:rsid w:val="17F453F5"/>
    <w:rsid w:val="17F9352B"/>
    <w:rsid w:val="18095344"/>
    <w:rsid w:val="180E4708"/>
    <w:rsid w:val="181240A7"/>
    <w:rsid w:val="1824217E"/>
    <w:rsid w:val="18243F2C"/>
    <w:rsid w:val="18267CA4"/>
    <w:rsid w:val="18273A1C"/>
    <w:rsid w:val="18291542"/>
    <w:rsid w:val="182A0E16"/>
    <w:rsid w:val="182B52BA"/>
    <w:rsid w:val="182F0322"/>
    <w:rsid w:val="18352A53"/>
    <w:rsid w:val="183A54FD"/>
    <w:rsid w:val="1847093C"/>
    <w:rsid w:val="184A3267"/>
    <w:rsid w:val="184C5231"/>
    <w:rsid w:val="184C6FDF"/>
    <w:rsid w:val="18511F57"/>
    <w:rsid w:val="1857344B"/>
    <w:rsid w:val="18657988"/>
    <w:rsid w:val="18673E19"/>
    <w:rsid w:val="187D5EF7"/>
    <w:rsid w:val="18866995"/>
    <w:rsid w:val="18890233"/>
    <w:rsid w:val="18910E95"/>
    <w:rsid w:val="189746FE"/>
    <w:rsid w:val="189B47D1"/>
    <w:rsid w:val="189D5A8C"/>
    <w:rsid w:val="18A32F63"/>
    <w:rsid w:val="18A51C9C"/>
    <w:rsid w:val="18AB01A9"/>
    <w:rsid w:val="18AB63FB"/>
    <w:rsid w:val="18B52DD6"/>
    <w:rsid w:val="18BE612E"/>
    <w:rsid w:val="18C94AD3"/>
    <w:rsid w:val="18D45952"/>
    <w:rsid w:val="18D46BEB"/>
    <w:rsid w:val="18DC65B5"/>
    <w:rsid w:val="18DD5F19"/>
    <w:rsid w:val="18E37943"/>
    <w:rsid w:val="18E9167E"/>
    <w:rsid w:val="18EB67F8"/>
    <w:rsid w:val="18ED6A14"/>
    <w:rsid w:val="18F03E0E"/>
    <w:rsid w:val="18F25DD8"/>
    <w:rsid w:val="18F733EE"/>
    <w:rsid w:val="18F97167"/>
    <w:rsid w:val="190056C1"/>
    <w:rsid w:val="1901601B"/>
    <w:rsid w:val="19062F7F"/>
    <w:rsid w:val="19067AD5"/>
    <w:rsid w:val="19081158"/>
    <w:rsid w:val="190A1374"/>
    <w:rsid w:val="190A2B12"/>
    <w:rsid w:val="190B6E9A"/>
    <w:rsid w:val="19193365"/>
    <w:rsid w:val="191C10A7"/>
    <w:rsid w:val="19212219"/>
    <w:rsid w:val="192817FA"/>
    <w:rsid w:val="192A0255"/>
    <w:rsid w:val="19324427"/>
    <w:rsid w:val="1934481E"/>
    <w:rsid w:val="193463F1"/>
    <w:rsid w:val="19375EE1"/>
    <w:rsid w:val="19393A07"/>
    <w:rsid w:val="193F61C9"/>
    <w:rsid w:val="19406B43"/>
    <w:rsid w:val="194303E2"/>
    <w:rsid w:val="1945415A"/>
    <w:rsid w:val="1946089D"/>
    <w:rsid w:val="194F322A"/>
    <w:rsid w:val="19573E8D"/>
    <w:rsid w:val="195E6FCA"/>
    <w:rsid w:val="1967529D"/>
    <w:rsid w:val="196842EC"/>
    <w:rsid w:val="19717EBC"/>
    <w:rsid w:val="19783AB2"/>
    <w:rsid w:val="19856C4C"/>
    <w:rsid w:val="19882298"/>
    <w:rsid w:val="19900E5B"/>
    <w:rsid w:val="19910B4F"/>
    <w:rsid w:val="199212ED"/>
    <w:rsid w:val="199A2918"/>
    <w:rsid w:val="19A10D28"/>
    <w:rsid w:val="19A30E80"/>
    <w:rsid w:val="19A35324"/>
    <w:rsid w:val="19A370D2"/>
    <w:rsid w:val="19A60971"/>
    <w:rsid w:val="19A74E14"/>
    <w:rsid w:val="19A81450"/>
    <w:rsid w:val="19AC5F87"/>
    <w:rsid w:val="19AC7FBE"/>
    <w:rsid w:val="19AE61A3"/>
    <w:rsid w:val="19AF3CC9"/>
    <w:rsid w:val="19B20DD3"/>
    <w:rsid w:val="19B27315"/>
    <w:rsid w:val="19B40CF7"/>
    <w:rsid w:val="19B72B7E"/>
    <w:rsid w:val="19B9232B"/>
    <w:rsid w:val="19B94B48"/>
    <w:rsid w:val="19BB441C"/>
    <w:rsid w:val="19BD0194"/>
    <w:rsid w:val="19C21C4E"/>
    <w:rsid w:val="19C37774"/>
    <w:rsid w:val="19C92FDD"/>
    <w:rsid w:val="19CC487B"/>
    <w:rsid w:val="19CD414F"/>
    <w:rsid w:val="19D07778"/>
    <w:rsid w:val="19E00326"/>
    <w:rsid w:val="19E03E83"/>
    <w:rsid w:val="19E576EB"/>
    <w:rsid w:val="19E679C4"/>
    <w:rsid w:val="19E971DB"/>
    <w:rsid w:val="19F16090"/>
    <w:rsid w:val="19FB6F0E"/>
    <w:rsid w:val="19FD46F1"/>
    <w:rsid w:val="19FD4A34"/>
    <w:rsid w:val="1A037B71"/>
    <w:rsid w:val="1A08318B"/>
    <w:rsid w:val="1A0E1F0E"/>
    <w:rsid w:val="1A11687D"/>
    <w:rsid w:val="1A1F69B1"/>
    <w:rsid w:val="1A24187A"/>
    <w:rsid w:val="1A27777D"/>
    <w:rsid w:val="1A2A3350"/>
    <w:rsid w:val="1A2E4BEE"/>
    <w:rsid w:val="1A3348FA"/>
    <w:rsid w:val="1A402B73"/>
    <w:rsid w:val="1A420699"/>
    <w:rsid w:val="1A4B50AA"/>
    <w:rsid w:val="1A564145"/>
    <w:rsid w:val="1A565416"/>
    <w:rsid w:val="1A5B54C3"/>
    <w:rsid w:val="1A69031C"/>
    <w:rsid w:val="1A710772"/>
    <w:rsid w:val="1A716259"/>
    <w:rsid w:val="1A772A39"/>
    <w:rsid w:val="1A7C47D0"/>
    <w:rsid w:val="1A7F369B"/>
    <w:rsid w:val="1A8769F4"/>
    <w:rsid w:val="1A974E89"/>
    <w:rsid w:val="1A9D3949"/>
    <w:rsid w:val="1A9D7FC6"/>
    <w:rsid w:val="1A9F5AEC"/>
    <w:rsid w:val="1AA70D85"/>
    <w:rsid w:val="1AAE21D3"/>
    <w:rsid w:val="1AB0041E"/>
    <w:rsid w:val="1AB377E9"/>
    <w:rsid w:val="1AB570BD"/>
    <w:rsid w:val="1AB9713F"/>
    <w:rsid w:val="1ABF6EAF"/>
    <w:rsid w:val="1AC47300"/>
    <w:rsid w:val="1AC86822"/>
    <w:rsid w:val="1ACC4407"/>
    <w:rsid w:val="1AD02149"/>
    <w:rsid w:val="1AD9671D"/>
    <w:rsid w:val="1ADD03C2"/>
    <w:rsid w:val="1AE259D8"/>
    <w:rsid w:val="1AE31E7C"/>
    <w:rsid w:val="1AE71C05"/>
    <w:rsid w:val="1AEB2BBF"/>
    <w:rsid w:val="1AF04599"/>
    <w:rsid w:val="1AF37BE5"/>
    <w:rsid w:val="1AFC4CEC"/>
    <w:rsid w:val="1B0342CC"/>
    <w:rsid w:val="1B070062"/>
    <w:rsid w:val="1B0961AD"/>
    <w:rsid w:val="1B1262BE"/>
    <w:rsid w:val="1B18764C"/>
    <w:rsid w:val="1B210BF7"/>
    <w:rsid w:val="1B23671D"/>
    <w:rsid w:val="1B28788F"/>
    <w:rsid w:val="1B316012"/>
    <w:rsid w:val="1B35229F"/>
    <w:rsid w:val="1B39193F"/>
    <w:rsid w:val="1B391A9C"/>
    <w:rsid w:val="1B4072CF"/>
    <w:rsid w:val="1B482BAE"/>
    <w:rsid w:val="1B4D72F6"/>
    <w:rsid w:val="1B505038"/>
    <w:rsid w:val="1B506DE6"/>
    <w:rsid w:val="1B570174"/>
    <w:rsid w:val="1B5957A5"/>
    <w:rsid w:val="1B597B7F"/>
    <w:rsid w:val="1B662AAD"/>
    <w:rsid w:val="1B6C7141"/>
    <w:rsid w:val="1B6D5F76"/>
    <w:rsid w:val="1B7138AA"/>
    <w:rsid w:val="1B753A8E"/>
    <w:rsid w:val="1B7B3CCC"/>
    <w:rsid w:val="1B7E5AA8"/>
    <w:rsid w:val="1B83470E"/>
    <w:rsid w:val="1B854CE1"/>
    <w:rsid w:val="1B860A5A"/>
    <w:rsid w:val="1B93683E"/>
    <w:rsid w:val="1B9743FB"/>
    <w:rsid w:val="1B9969DF"/>
    <w:rsid w:val="1B9B4505"/>
    <w:rsid w:val="1B9C4323"/>
    <w:rsid w:val="1BA57132"/>
    <w:rsid w:val="1BA84E74"/>
    <w:rsid w:val="1BAC6712"/>
    <w:rsid w:val="1BB74F5A"/>
    <w:rsid w:val="1BBD402A"/>
    <w:rsid w:val="1BC021BE"/>
    <w:rsid w:val="1BC752FA"/>
    <w:rsid w:val="1BD96DDB"/>
    <w:rsid w:val="1BDD2D6F"/>
    <w:rsid w:val="1BDD64C4"/>
    <w:rsid w:val="1BE0016A"/>
    <w:rsid w:val="1BE13EE2"/>
    <w:rsid w:val="1BEA0FE8"/>
    <w:rsid w:val="1BF65BDF"/>
    <w:rsid w:val="1BF6798D"/>
    <w:rsid w:val="1BFC5AAE"/>
    <w:rsid w:val="1C024584"/>
    <w:rsid w:val="1C03400A"/>
    <w:rsid w:val="1C0A6C76"/>
    <w:rsid w:val="1C142509"/>
    <w:rsid w:val="1C142AAA"/>
    <w:rsid w:val="1C16002F"/>
    <w:rsid w:val="1C19367C"/>
    <w:rsid w:val="1C197B20"/>
    <w:rsid w:val="1C1A4CA0"/>
    <w:rsid w:val="1C1C3525"/>
    <w:rsid w:val="1C262C1A"/>
    <w:rsid w:val="1C290600"/>
    <w:rsid w:val="1C2D2C9B"/>
    <w:rsid w:val="1C381D54"/>
    <w:rsid w:val="1C3B1844"/>
    <w:rsid w:val="1C3B5CE8"/>
    <w:rsid w:val="1C3D380E"/>
    <w:rsid w:val="1C440C60"/>
    <w:rsid w:val="1C47468D"/>
    <w:rsid w:val="1C4C1CA3"/>
    <w:rsid w:val="1C4D36AB"/>
    <w:rsid w:val="1C4D79F2"/>
    <w:rsid w:val="1C4E5A1B"/>
    <w:rsid w:val="1C511779"/>
    <w:rsid w:val="1C536B8E"/>
    <w:rsid w:val="1C563089"/>
    <w:rsid w:val="1C5841A4"/>
    <w:rsid w:val="1C640D9B"/>
    <w:rsid w:val="1C646FED"/>
    <w:rsid w:val="1C6601F2"/>
    <w:rsid w:val="1C7408FE"/>
    <w:rsid w:val="1C7903AF"/>
    <w:rsid w:val="1C7A05BE"/>
    <w:rsid w:val="1C7D1E5D"/>
    <w:rsid w:val="1C814C75"/>
    <w:rsid w:val="1C8B27CB"/>
    <w:rsid w:val="1C8E7BC6"/>
    <w:rsid w:val="1C9262FB"/>
    <w:rsid w:val="1C986C96"/>
    <w:rsid w:val="1C997140"/>
    <w:rsid w:val="1CA44A0F"/>
    <w:rsid w:val="1CA70003"/>
    <w:rsid w:val="1CA76EDA"/>
    <w:rsid w:val="1CA94A00"/>
    <w:rsid w:val="1CAB69CA"/>
    <w:rsid w:val="1CB263DE"/>
    <w:rsid w:val="1CB279A9"/>
    <w:rsid w:val="1CB533A4"/>
    <w:rsid w:val="1CB810E7"/>
    <w:rsid w:val="1CBB2985"/>
    <w:rsid w:val="1CBF2475"/>
    <w:rsid w:val="1CC17F9B"/>
    <w:rsid w:val="1CC21F65"/>
    <w:rsid w:val="1CC25AC1"/>
    <w:rsid w:val="1CC84BE4"/>
    <w:rsid w:val="1CC96E50"/>
    <w:rsid w:val="1CCA0C6F"/>
    <w:rsid w:val="1CCD203C"/>
    <w:rsid w:val="1CD04682"/>
    <w:rsid w:val="1CD774B0"/>
    <w:rsid w:val="1CE00629"/>
    <w:rsid w:val="1CE57D5A"/>
    <w:rsid w:val="1CEB326A"/>
    <w:rsid w:val="1CED3684"/>
    <w:rsid w:val="1CF0262F"/>
    <w:rsid w:val="1CF0690F"/>
    <w:rsid w:val="1CFA525B"/>
    <w:rsid w:val="1D0113C9"/>
    <w:rsid w:val="1D01483C"/>
    <w:rsid w:val="1D0C4D3C"/>
    <w:rsid w:val="1D0D31E0"/>
    <w:rsid w:val="1D13631D"/>
    <w:rsid w:val="1D181B85"/>
    <w:rsid w:val="1D1B1F70"/>
    <w:rsid w:val="1D232A04"/>
    <w:rsid w:val="1D2D73DF"/>
    <w:rsid w:val="1D2E13A9"/>
    <w:rsid w:val="1D3272A2"/>
    <w:rsid w:val="1D37667D"/>
    <w:rsid w:val="1D383FD6"/>
    <w:rsid w:val="1D4209B0"/>
    <w:rsid w:val="1D4330A6"/>
    <w:rsid w:val="1D436C02"/>
    <w:rsid w:val="1D4604A0"/>
    <w:rsid w:val="1D55000A"/>
    <w:rsid w:val="1D586233"/>
    <w:rsid w:val="1D5968EC"/>
    <w:rsid w:val="1D5A3F4C"/>
    <w:rsid w:val="1D5F5A06"/>
    <w:rsid w:val="1D631052"/>
    <w:rsid w:val="1D633073"/>
    <w:rsid w:val="1D666D95"/>
    <w:rsid w:val="1D686669"/>
    <w:rsid w:val="1D6A50EA"/>
    <w:rsid w:val="1D762F10"/>
    <w:rsid w:val="1D796AC8"/>
    <w:rsid w:val="1D7A45EE"/>
    <w:rsid w:val="1D7A639C"/>
    <w:rsid w:val="1D813BCE"/>
    <w:rsid w:val="1D8C53A3"/>
    <w:rsid w:val="1D9531D6"/>
    <w:rsid w:val="1DA460D2"/>
    <w:rsid w:val="1DAB29F9"/>
    <w:rsid w:val="1DAC61A2"/>
    <w:rsid w:val="1DB00010"/>
    <w:rsid w:val="1DB16262"/>
    <w:rsid w:val="1DB418AE"/>
    <w:rsid w:val="1DB55626"/>
    <w:rsid w:val="1DB63878"/>
    <w:rsid w:val="1DB775F0"/>
    <w:rsid w:val="1DBE097F"/>
    <w:rsid w:val="1DC37D43"/>
    <w:rsid w:val="1DC46673"/>
    <w:rsid w:val="1DCA10D2"/>
    <w:rsid w:val="1DCC6BCB"/>
    <w:rsid w:val="1DD35915"/>
    <w:rsid w:val="1DD91315"/>
    <w:rsid w:val="1DDB508D"/>
    <w:rsid w:val="1DE33F41"/>
    <w:rsid w:val="1DEA1774"/>
    <w:rsid w:val="1DF52E86"/>
    <w:rsid w:val="1DF77DC1"/>
    <w:rsid w:val="1DFB128B"/>
    <w:rsid w:val="1DFB3BD9"/>
    <w:rsid w:val="1DFE0D7B"/>
    <w:rsid w:val="1E002D45"/>
    <w:rsid w:val="1E0068A1"/>
    <w:rsid w:val="1E0077BD"/>
    <w:rsid w:val="1E0346BB"/>
    <w:rsid w:val="1E045A8A"/>
    <w:rsid w:val="1E053855"/>
    <w:rsid w:val="1E0565AE"/>
    <w:rsid w:val="1E081BFA"/>
    <w:rsid w:val="1E0C16EA"/>
    <w:rsid w:val="1E0C793C"/>
    <w:rsid w:val="1E0D0FBE"/>
    <w:rsid w:val="1E14234D"/>
    <w:rsid w:val="1E18008F"/>
    <w:rsid w:val="1E2702D2"/>
    <w:rsid w:val="1E2C3B3A"/>
    <w:rsid w:val="1E2F362A"/>
    <w:rsid w:val="1E2F53D8"/>
    <w:rsid w:val="1E301693"/>
    <w:rsid w:val="1E326C77"/>
    <w:rsid w:val="1E3819A8"/>
    <w:rsid w:val="1E396257"/>
    <w:rsid w:val="1E3E386E"/>
    <w:rsid w:val="1E3E39E6"/>
    <w:rsid w:val="1E401394"/>
    <w:rsid w:val="1E403142"/>
    <w:rsid w:val="1E445BB5"/>
    <w:rsid w:val="1E4B5FA8"/>
    <w:rsid w:val="1E4F7829"/>
    <w:rsid w:val="1E5B61CE"/>
    <w:rsid w:val="1E5D1854"/>
    <w:rsid w:val="1E5E181A"/>
    <w:rsid w:val="1E635082"/>
    <w:rsid w:val="1E6C03DB"/>
    <w:rsid w:val="1E7159F1"/>
    <w:rsid w:val="1E7338E5"/>
    <w:rsid w:val="1E74103D"/>
    <w:rsid w:val="1E763007"/>
    <w:rsid w:val="1E786D7F"/>
    <w:rsid w:val="1E7948A6"/>
    <w:rsid w:val="1E7A2AF8"/>
    <w:rsid w:val="1E7D6144"/>
    <w:rsid w:val="1E827BFE"/>
    <w:rsid w:val="1E845724"/>
    <w:rsid w:val="1E8A260F"/>
    <w:rsid w:val="1E8C282B"/>
    <w:rsid w:val="1E8D5CB1"/>
    <w:rsid w:val="1E8F5E77"/>
    <w:rsid w:val="1E911BEF"/>
    <w:rsid w:val="1E9275C5"/>
    <w:rsid w:val="1E931075"/>
    <w:rsid w:val="1E9359FF"/>
    <w:rsid w:val="1E9B1C91"/>
    <w:rsid w:val="1E9C5D87"/>
    <w:rsid w:val="1E9D2342"/>
    <w:rsid w:val="1E9E60BA"/>
    <w:rsid w:val="1EA731C1"/>
    <w:rsid w:val="1EAC07D7"/>
    <w:rsid w:val="1EAE454F"/>
    <w:rsid w:val="1EB31B66"/>
    <w:rsid w:val="1EB35BD8"/>
    <w:rsid w:val="1EBF050A"/>
    <w:rsid w:val="1EC05AB5"/>
    <w:rsid w:val="1EC2624D"/>
    <w:rsid w:val="1EC63B74"/>
    <w:rsid w:val="1ECA65F0"/>
    <w:rsid w:val="1ECE074D"/>
    <w:rsid w:val="1EDA619E"/>
    <w:rsid w:val="1EDC131A"/>
    <w:rsid w:val="1EDC41F6"/>
    <w:rsid w:val="1EDF295B"/>
    <w:rsid w:val="1EE61F3B"/>
    <w:rsid w:val="1EE77A61"/>
    <w:rsid w:val="1EE833D9"/>
    <w:rsid w:val="1EE95587"/>
    <w:rsid w:val="1EEA12FF"/>
    <w:rsid w:val="1EEB5328"/>
    <w:rsid w:val="1EEB7551"/>
    <w:rsid w:val="1EEC32CA"/>
    <w:rsid w:val="1EEC5078"/>
    <w:rsid w:val="1EF34658"/>
    <w:rsid w:val="1EFA3C38"/>
    <w:rsid w:val="1EFB1C1F"/>
    <w:rsid w:val="1F046865"/>
    <w:rsid w:val="1F070103"/>
    <w:rsid w:val="1F095375"/>
    <w:rsid w:val="1F0979D8"/>
    <w:rsid w:val="1F0C322D"/>
    <w:rsid w:val="1F100D66"/>
    <w:rsid w:val="1F122D30"/>
    <w:rsid w:val="1F152820"/>
    <w:rsid w:val="1F15637C"/>
    <w:rsid w:val="1F1840BF"/>
    <w:rsid w:val="1F2C58B2"/>
    <w:rsid w:val="1F3F1B86"/>
    <w:rsid w:val="1F3F5AEF"/>
    <w:rsid w:val="1F446C62"/>
    <w:rsid w:val="1F4B4494"/>
    <w:rsid w:val="1F4B6242"/>
    <w:rsid w:val="1F520A72"/>
    <w:rsid w:val="1F5844BB"/>
    <w:rsid w:val="1F5A46D7"/>
    <w:rsid w:val="1F5B1004"/>
    <w:rsid w:val="1F5C2935"/>
    <w:rsid w:val="1F5F1CED"/>
    <w:rsid w:val="1F5F3A9B"/>
    <w:rsid w:val="1F6022F5"/>
    <w:rsid w:val="1F69491A"/>
    <w:rsid w:val="1F705CA9"/>
    <w:rsid w:val="1F792DAF"/>
    <w:rsid w:val="1F7F7C9A"/>
    <w:rsid w:val="1F845EBA"/>
    <w:rsid w:val="1F861028"/>
    <w:rsid w:val="1F881244"/>
    <w:rsid w:val="1F890B18"/>
    <w:rsid w:val="1F896D6A"/>
    <w:rsid w:val="1F973235"/>
    <w:rsid w:val="1F981484"/>
    <w:rsid w:val="1F983013"/>
    <w:rsid w:val="1F983CCE"/>
    <w:rsid w:val="1F9C084C"/>
    <w:rsid w:val="1F9E2816"/>
    <w:rsid w:val="1FA00AD9"/>
    <w:rsid w:val="1FB262C1"/>
    <w:rsid w:val="1FB63591"/>
    <w:rsid w:val="1FBD34A2"/>
    <w:rsid w:val="1FBF278C"/>
    <w:rsid w:val="1FC009DE"/>
    <w:rsid w:val="1FC64311"/>
    <w:rsid w:val="1FC85AE5"/>
    <w:rsid w:val="1FC97167"/>
    <w:rsid w:val="1FCE5529"/>
    <w:rsid w:val="1FD53D5E"/>
    <w:rsid w:val="1FD56262"/>
    <w:rsid w:val="1FE16BA6"/>
    <w:rsid w:val="1FE27D80"/>
    <w:rsid w:val="1FE521F3"/>
    <w:rsid w:val="1FE741BD"/>
    <w:rsid w:val="1FEA15B7"/>
    <w:rsid w:val="1FEB532F"/>
    <w:rsid w:val="1FED554B"/>
    <w:rsid w:val="1FF22B62"/>
    <w:rsid w:val="1FF561AE"/>
    <w:rsid w:val="1FFA08C4"/>
    <w:rsid w:val="1FFE1506"/>
    <w:rsid w:val="200230F1"/>
    <w:rsid w:val="20060D7B"/>
    <w:rsid w:val="200F2C45"/>
    <w:rsid w:val="20112FE8"/>
    <w:rsid w:val="20157E2A"/>
    <w:rsid w:val="201A79C2"/>
    <w:rsid w:val="201C3652"/>
    <w:rsid w:val="20234A6C"/>
    <w:rsid w:val="20285722"/>
    <w:rsid w:val="20286583"/>
    <w:rsid w:val="202F346E"/>
    <w:rsid w:val="2031368A"/>
    <w:rsid w:val="203171E6"/>
    <w:rsid w:val="203A3726"/>
    <w:rsid w:val="203B2300"/>
    <w:rsid w:val="203C58F3"/>
    <w:rsid w:val="203E32AB"/>
    <w:rsid w:val="204213F3"/>
    <w:rsid w:val="204A02A8"/>
    <w:rsid w:val="204D6F9F"/>
    <w:rsid w:val="20564E9E"/>
    <w:rsid w:val="2059648A"/>
    <w:rsid w:val="20670E5A"/>
    <w:rsid w:val="206E238A"/>
    <w:rsid w:val="20765541"/>
    <w:rsid w:val="207812B9"/>
    <w:rsid w:val="207C36C3"/>
    <w:rsid w:val="20803CC9"/>
    <w:rsid w:val="208B7348"/>
    <w:rsid w:val="209B0B03"/>
    <w:rsid w:val="209B13A7"/>
    <w:rsid w:val="209D520A"/>
    <w:rsid w:val="209E2043"/>
    <w:rsid w:val="20A756FA"/>
    <w:rsid w:val="20A976C4"/>
    <w:rsid w:val="20AA51EA"/>
    <w:rsid w:val="20AC0F62"/>
    <w:rsid w:val="20AC4ABE"/>
    <w:rsid w:val="20B10327"/>
    <w:rsid w:val="20B24026"/>
    <w:rsid w:val="20B63B8F"/>
    <w:rsid w:val="20B9542D"/>
    <w:rsid w:val="20BB45F9"/>
    <w:rsid w:val="20BB73F7"/>
    <w:rsid w:val="20CA763A"/>
    <w:rsid w:val="20D3029D"/>
    <w:rsid w:val="20D34741"/>
    <w:rsid w:val="20E26732"/>
    <w:rsid w:val="20E64474"/>
    <w:rsid w:val="20EB1A8B"/>
    <w:rsid w:val="20EE157B"/>
    <w:rsid w:val="20EF0E4F"/>
    <w:rsid w:val="20F070A1"/>
    <w:rsid w:val="20F14BC7"/>
    <w:rsid w:val="20F63F8C"/>
    <w:rsid w:val="20FA1CCE"/>
    <w:rsid w:val="20FA3A7C"/>
    <w:rsid w:val="21015D8F"/>
    <w:rsid w:val="21025026"/>
    <w:rsid w:val="21031EA1"/>
    <w:rsid w:val="210E39CB"/>
    <w:rsid w:val="210F0963"/>
    <w:rsid w:val="21154D5A"/>
    <w:rsid w:val="21162880"/>
    <w:rsid w:val="21254871"/>
    <w:rsid w:val="21354AB4"/>
    <w:rsid w:val="2149662E"/>
    <w:rsid w:val="214E2A49"/>
    <w:rsid w:val="214F6BCE"/>
    <w:rsid w:val="215414C1"/>
    <w:rsid w:val="21555156"/>
    <w:rsid w:val="215D04AF"/>
    <w:rsid w:val="215D225D"/>
    <w:rsid w:val="216655B5"/>
    <w:rsid w:val="216B138B"/>
    <w:rsid w:val="216D6ACE"/>
    <w:rsid w:val="21723F5A"/>
    <w:rsid w:val="217355DC"/>
    <w:rsid w:val="21833D82"/>
    <w:rsid w:val="21837F15"/>
    <w:rsid w:val="21871088"/>
    <w:rsid w:val="218D0B38"/>
    <w:rsid w:val="21920158"/>
    <w:rsid w:val="21923DFF"/>
    <w:rsid w:val="219557DE"/>
    <w:rsid w:val="21967DBF"/>
    <w:rsid w:val="219A525F"/>
    <w:rsid w:val="219B33C4"/>
    <w:rsid w:val="219C0FD7"/>
    <w:rsid w:val="219F2875"/>
    <w:rsid w:val="21A41C3A"/>
    <w:rsid w:val="21BC0100"/>
    <w:rsid w:val="21BF0821"/>
    <w:rsid w:val="21BF6A73"/>
    <w:rsid w:val="21C422DC"/>
    <w:rsid w:val="21C66054"/>
    <w:rsid w:val="21C67E02"/>
    <w:rsid w:val="21CE6CB6"/>
    <w:rsid w:val="21CF5542"/>
    <w:rsid w:val="21D4251F"/>
    <w:rsid w:val="21D544E9"/>
    <w:rsid w:val="21D818E3"/>
    <w:rsid w:val="21DA565B"/>
    <w:rsid w:val="21DF0EC4"/>
    <w:rsid w:val="21E66AB3"/>
    <w:rsid w:val="21EA2E05"/>
    <w:rsid w:val="21EF3B5B"/>
    <w:rsid w:val="21F7445F"/>
    <w:rsid w:val="21F9443D"/>
    <w:rsid w:val="22001566"/>
    <w:rsid w:val="22010E3A"/>
    <w:rsid w:val="220426D8"/>
    <w:rsid w:val="2208147E"/>
    <w:rsid w:val="2210107D"/>
    <w:rsid w:val="2221328A"/>
    <w:rsid w:val="22235254"/>
    <w:rsid w:val="222B72CC"/>
    <w:rsid w:val="222E7744"/>
    <w:rsid w:val="22330D82"/>
    <w:rsid w:val="22355E26"/>
    <w:rsid w:val="22356D36"/>
    <w:rsid w:val="22391116"/>
    <w:rsid w:val="224315DD"/>
    <w:rsid w:val="224B0ED0"/>
    <w:rsid w:val="224C47AB"/>
    <w:rsid w:val="224F3E0C"/>
    <w:rsid w:val="22525B39"/>
    <w:rsid w:val="22552F34"/>
    <w:rsid w:val="22574EFE"/>
    <w:rsid w:val="226B673B"/>
    <w:rsid w:val="22737F8A"/>
    <w:rsid w:val="22750E06"/>
    <w:rsid w:val="22794E74"/>
    <w:rsid w:val="227B5090"/>
    <w:rsid w:val="22812619"/>
    <w:rsid w:val="2282499F"/>
    <w:rsid w:val="22844605"/>
    <w:rsid w:val="22885B34"/>
    <w:rsid w:val="22905F9B"/>
    <w:rsid w:val="22915D99"/>
    <w:rsid w:val="22960D10"/>
    <w:rsid w:val="229879F0"/>
    <w:rsid w:val="229B3091"/>
    <w:rsid w:val="22A719E1"/>
    <w:rsid w:val="22AD4B1E"/>
    <w:rsid w:val="22B440FE"/>
    <w:rsid w:val="22B45EAC"/>
    <w:rsid w:val="22B62C39"/>
    <w:rsid w:val="22BB36DF"/>
    <w:rsid w:val="22BB548D"/>
    <w:rsid w:val="22BC7AC7"/>
    <w:rsid w:val="22BF2E59"/>
    <w:rsid w:val="22C00CF5"/>
    <w:rsid w:val="22C2681B"/>
    <w:rsid w:val="22C458D4"/>
    <w:rsid w:val="22C500B9"/>
    <w:rsid w:val="22C5455D"/>
    <w:rsid w:val="22C75BE0"/>
    <w:rsid w:val="22E20C6B"/>
    <w:rsid w:val="22E418F0"/>
    <w:rsid w:val="22E70030"/>
    <w:rsid w:val="22EB1154"/>
    <w:rsid w:val="22EC3277"/>
    <w:rsid w:val="22EC3898"/>
    <w:rsid w:val="22ED0263"/>
    <w:rsid w:val="22F015DA"/>
    <w:rsid w:val="22F4274D"/>
    <w:rsid w:val="22F96690"/>
    <w:rsid w:val="22FF35CB"/>
    <w:rsid w:val="23040BE2"/>
    <w:rsid w:val="23107582"/>
    <w:rsid w:val="23137077"/>
    <w:rsid w:val="23152DEF"/>
    <w:rsid w:val="23164DB9"/>
    <w:rsid w:val="2318468D"/>
    <w:rsid w:val="23184B1A"/>
    <w:rsid w:val="232272BA"/>
    <w:rsid w:val="23244DE0"/>
    <w:rsid w:val="23250A35"/>
    <w:rsid w:val="23290648"/>
    <w:rsid w:val="232A43C0"/>
    <w:rsid w:val="23360FB7"/>
    <w:rsid w:val="23376AAB"/>
    <w:rsid w:val="233B037C"/>
    <w:rsid w:val="233B65CE"/>
    <w:rsid w:val="233C36AF"/>
    <w:rsid w:val="233D694A"/>
    <w:rsid w:val="23496F3C"/>
    <w:rsid w:val="23531B69"/>
    <w:rsid w:val="23552CC4"/>
    <w:rsid w:val="23557326"/>
    <w:rsid w:val="23580F2E"/>
    <w:rsid w:val="235A33F0"/>
    <w:rsid w:val="235A6A54"/>
    <w:rsid w:val="235B27CC"/>
    <w:rsid w:val="235B2848"/>
    <w:rsid w:val="235D47D5"/>
    <w:rsid w:val="235F406A"/>
    <w:rsid w:val="23627FFE"/>
    <w:rsid w:val="236553F8"/>
    <w:rsid w:val="236B2A0F"/>
    <w:rsid w:val="237044C9"/>
    <w:rsid w:val="2375388E"/>
    <w:rsid w:val="23775858"/>
    <w:rsid w:val="237D2742"/>
    <w:rsid w:val="2383280A"/>
    <w:rsid w:val="23871813"/>
    <w:rsid w:val="238B4E5F"/>
    <w:rsid w:val="238E2BA1"/>
    <w:rsid w:val="23967436"/>
    <w:rsid w:val="23977CA8"/>
    <w:rsid w:val="23A23246"/>
    <w:rsid w:val="23A777BF"/>
    <w:rsid w:val="23AE4FF1"/>
    <w:rsid w:val="23B4085A"/>
    <w:rsid w:val="23B720F8"/>
    <w:rsid w:val="23B73EA6"/>
    <w:rsid w:val="23C06940"/>
    <w:rsid w:val="23C11063"/>
    <w:rsid w:val="23C44F4B"/>
    <w:rsid w:val="23C6058D"/>
    <w:rsid w:val="23C67B2A"/>
    <w:rsid w:val="23C70B5B"/>
    <w:rsid w:val="23D06D16"/>
    <w:rsid w:val="23D22A8E"/>
    <w:rsid w:val="23D507D0"/>
    <w:rsid w:val="23D8149D"/>
    <w:rsid w:val="23DB3ED9"/>
    <w:rsid w:val="23DD1433"/>
    <w:rsid w:val="23E10F23"/>
    <w:rsid w:val="23E56031"/>
    <w:rsid w:val="23ED3D6C"/>
    <w:rsid w:val="23F073B8"/>
    <w:rsid w:val="23FC34CB"/>
    <w:rsid w:val="23FC5D5D"/>
    <w:rsid w:val="23FE7D27"/>
    <w:rsid w:val="23FF6D26"/>
    <w:rsid w:val="24001138"/>
    <w:rsid w:val="24035494"/>
    <w:rsid w:val="24042E63"/>
    <w:rsid w:val="240864B0"/>
    <w:rsid w:val="240A4F8A"/>
    <w:rsid w:val="24155071"/>
    <w:rsid w:val="24174945"/>
    <w:rsid w:val="241935A1"/>
    <w:rsid w:val="241C6A54"/>
    <w:rsid w:val="241E3F25"/>
    <w:rsid w:val="242502D3"/>
    <w:rsid w:val="24277076"/>
    <w:rsid w:val="242B4894"/>
    <w:rsid w:val="242F7169"/>
    <w:rsid w:val="2432177F"/>
    <w:rsid w:val="243674C1"/>
    <w:rsid w:val="24374FE7"/>
    <w:rsid w:val="243C0E2C"/>
    <w:rsid w:val="243D7B46"/>
    <w:rsid w:val="24412E6E"/>
    <w:rsid w:val="24455956"/>
    <w:rsid w:val="2446522A"/>
    <w:rsid w:val="24482D50"/>
    <w:rsid w:val="244A2F6C"/>
    <w:rsid w:val="244A4D1A"/>
    <w:rsid w:val="244C00B5"/>
    <w:rsid w:val="244C5796"/>
    <w:rsid w:val="244F2331"/>
    <w:rsid w:val="24613E12"/>
    <w:rsid w:val="24632624"/>
    <w:rsid w:val="24661428"/>
    <w:rsid w:val="24773635"/>
    <w:rsid w:val="247B0206"/>
    <w:rsid w:val="247B1377"/>
    <w:rsid w:val="247E2C16"/>
    <w:rsid w:val="248166DC"/>
    <w:rsid w:val="24855D52"/>
    <w:rsid w:val="24894CC7"/>
    <w:rsid w:val="248D2E59"/>
    <w:rsid w:val="248F4E23"/>
    <w:rsid w:val="2492206B"/>
    <w:rsid w:val="24961D0D"/>
    <w:rsid w:val="24967F5F"/>
    <w:rsid w:val="249E5772"/>
    <w:rsid w:val="249F545E"/>
    <w:rsid w:val="24A77AD6"/>
    <w:rsid w:val="24A85EE5"/>
    <w:rsid w:val="24AF2DCF"/>
    <w:rsid w:val="24B55EEC"/>
    <w:rsid w:val="24B853BF"/>
    <w:rsid w:val="24BB5C18"/>
    <w:rsid w:val="24C04FDC"/>
    <w:rsid w:val="24CA2B96"/>
    <w:rsid w:val="24D42836"/>
    <w:rsid w:val="24D506C8"/>
    <w:rsid w:val="24DE36B4"/>
    <w:rsid w:val="24E0742D"/>
    <w:rsid w:val="24E30CCB"/>
    <w:rsid w:val="24EA02AB"/>
    <w:rsid w:val="24F44F16"/>
    <w:rsid w:val="24F46A34"/>
    <w:rsid w:val="24F669CD"/>
    <w:rsid w:val="24F66C50"/>
    <w:rsid w:val="24FC3D7E"/>
    <w:rsid w:val="25050C41"/>
    <w:rsid w:val="25070E5D"/>
    <w:rsid w:val="250F1B30"/>
    <w:rsid w:val="251956B6"/>
    <w:rsid w:val="2519649B"/>
    <w:rsid w:val="251B2BA7"/>
    <w:rsid w:val="252C71BA"/>
    <w:rsid w:val="252E0198"/>
    <w:rsid w:val="25302162"/>
    <w:rsid w:val="25360432"/>
    <w:rsid w:val="25362D5A"/>
    <w:rsid w:val="25387269"/>
    <w:rsid w:val="253A4D8F"/>
    <w:rsid w:val="253D03DB"/>
    <w:rsid w:val="253F4153"/>
    <w:rsid w:val="2540611D"/>
    <w:rsid w:val="254A7A9F"/>
    <w:rsid w:val="254C6870"/>
    <w:rsid w:val="25551BC9"/>
    <w:rsid w:val="25565941"/>
    <w:rsid w:val="25592D3B"/>
    <w:rsid w:val="255C4358"/>
    <w:rsid w:val="256040C9"/>
    <w:rsid w:val="2561056D"/>
    <w:rsid w:val="256D3B90"/>
    <w:rsid w:val="25710085"/>
    <w:rsid w:val="2572617E"/>
    <w:rsid w:val="257302A1"/>
    <w:rsid w:val="25733493"/>
    <w:rsid w:val="25803D3A"/>
    <w:rsid w:val="25902C01"/>
    <w:rsid w:val="259827BD"/>
    <w:rsid w:val="259D0E7A"/>
    <w:rsid w:val="259D757B"/>
    <w:rsid w:val="259F2E44"/>
    <w:rsid w:val="25A91F14"/>
    <w:rsid w:val="25AB17E9"/>
    <w:rsid w:val="25AB3597"/>
    <w:rsid w:val="25AF4DA6"/>
    <w:rsid w:val="25B032A3"/>
    <w:rsid w:val="25B34B41"/>
    <w:rsid w:val="25B91E90"/>
    <w:rsid w:val="25BD776E"/>
    <w:rsid w:val="25C30157"/>
    <w:rsid w:val="25C32FD6"/>
    <w:rsid w:val="25C428AA"/>
    <w:rsid w:val="25C603D0"/>
    <w:rsid w:val="25CB3C39"/>
    <w:rsid w:val="25D23219"/>
    <w:rsid w:val="25DB14CF"/>
    <w:rsid w:val="25DC7BF4"/>
    <w:rsid w:val="25DE1BBE"/>
    <w:rsid w:val="25DF1492"/>
    <w:rsid w:val="25DF76E4"/>
    <w:rsid w:val="25E371D4"/>
    <w:rsid w:val="25E44CFA"/>
    <w:rsid w:val="25F47F48"/>
    <w:rsid w:val="25F960F3"/>
    <w:rsid w:val="25FA2800"/>
    <w:rsid w:val="25FC2044"/>
    <w:rsid w:val="25FC3DF2"/>
    <w:rsid w:val="260158AC"/>
    <w:rsid w:val="2601765A"/>
    <w:rsid w:val="26031625"/>
    <w:rsid w:val="26051C44"/>
    <w:rsid w:val="260929B3"/>
    <w:rsid w:val="260F160F"/>
    <w:rsid w:val="26153106"/>
    <w:rsid w:val="26181471"/>
    <w:rsid w:val="261825DA"/>
    <w:rsid w:val="261B7E53"/>
    <w:rsid w:val="261C4494"/>
    <w:rsid w:val="261F20D3"/>
    <w:rsid w:val="2622319C"/>
    <w:rsid w:val="262275D1"/>
    <w:rsid w:val="26284BE7"/>
    <w:rsid w:val="2629095F"/>
    <w:rsid w:val="262E5F76"/>
    <w:rsid w:val="26301CEE"/>
    <w:rsid w:val="26357304"/>
    <w:rsid w:val="26395046"/>
    <w:rsid w:val="263A2B6C"/>
    <w:rsid w:val="26435EC5"/>
    <w:rsid w:val="264439EB"/>
    <w:rsid w:val="26451C3D"/>
    <w:rsid w:val="26461511"/>
    <w:rsid w:val="26473E9B"/>
    <w:rsid w:val="26487037"/>
    <w:rsid w:val="26492DAF"/>
    <w:rsid w:val="264D6D44"/>
    <w:rsid w:val="264E03C6"/>
    <w:rsid w:val="265D6D62"/>
    <w:rsid w:val="265F1573"/>
    <w:rsid w:val="26624445"/>
    <w:rsid w:val="266471E8"/>
    <w:rsid w:val="266A3452"/>
    <w:rsid w:val="267442D0"/>
    <w:rsid w:val="26773DC1"/>
    <w:rsid w:val="26793695"/>
    <w:rsid w:val="267C3185"/>
    <w:rsid w:val="268362C1"/>
    <w:rsid w:val="268825FE"/>
    <w:rsid w:val="268A58A2"/>
    <w:rsid w:val="268A7650"/>
    <w:rsid w:val="268E39D0"/>
    <w:rsid w:val="268F110A"/>
    <w:rsid w:val="268F2EB8"/>
    <w:rsid w:val="26995AE5"/>
    <w:rsid w:val="269B7AAF"/>
    <w:rsid w:val="26A050C5"/>
    <w:rsid w:val="26A56238"/>
    <w:rsid w:val="26A821CC"/>
    <w:rsid w:val="26AA1AA0"/>
    <w:rsid w:val="26AC0ACC"/>
    <w:rsid w:val="26B24DF9"/>
    <w:rsid w:val="26B4291F"/>
    <w:rsid w:val="26BB7D0D"/>
    <w:rsid w:val="26BD472B"/>
    <w:rsid w:val="26C1431F"/>
    <w:rsid w:val="26C37006"/>
    <w:rsid w:val="26C50688"/>
    <w:rsid w:val="26C56027"/>
    <w:rsid w:val="26C81B3E"/>
    <w:rsid w:val="26CF5C93"/>
    <w:rsid w:val="26D1527F"/>
    <w:rsid w:val="26D20FF7"/>
    <w:rsid w:val="26D23E6B"/>
    <w:rsid w:val="26DC3C24"/>
    <w:rsid w:val="26E63E5F"/>
    <w:rsid w:val="26EB1EFE"/>
    <w:rsid w:val="26EF3957"/>
    <w:rsid w:val="26F45411"/>
    <w:rsid w:val="26F96584"/>
    <w:rsid w:val="26FD0CCF"/>
    <w:rsid w:val="26FE2633"/>
    <w:rsid w:val="2705317A"/>
    <w:rsid w:val="27084A19"/>
    <w:rsid w:val="270F3FF9"/>
    <w:rsid w:val="271B0BF0"/>
    <w:rsid w:val="27257379"/>
    <w:rsid w:val="27291C14"/>
    <w:rsid w:val="272B7390"/>
    <w:rsid w:val="272F01F7"/>
    <w:rsid w:val="272F1FA5"/>
    <w:rsid w:val="27343A60"/>
    <w:rsid w:val="2734580E"/>
    <w:rsid w:val="27384086"/>
    <w:rsid w:val="27391076"/>
    <w:rsid w:val="273D0B66"/>
    <w:rsid w:val="273F48DE"/>
    <w:rsid w:val="274719E5"/>
    <w:rsid w:val="274A3283"/>
    <w:rsid w:val="274E2D73"/>
    <w:rsid w:val="274F2647"/>
    <w:rsid w:val="27532158"/>
    <w:rsid w:val="27565784"/>
    <w:rsid w:val="27585733"/>
    <w:rsid w:val="275A389E"/>
    <w:rsid w:val="275F3B86"/>
    <w:rsid w:val="276500BD"/>
    <w:rsid w:val="27651E6B"/>
    <w:rsid w:val="27653C19"/>
    <w:rsid w:val="276E0D20"/>
    <w:rsid w:val="276E367F"/>
    <w:rsid w:val="277C0BD1"/>
    <w:rsid w:val="277D5407"/>
    <w:rsid w:val="277E60F8"/>
    <w:rsid w:val="277F6452"/>
    <w:rsid w:val="278247CB"/>
    <w:rsid w:val="27826579"/>
    <w:rsid w:val="27836D3D"/>
    <w:rsid w:val="278A18D2"/>
    <w:rsid w:val="278E41B3"/>
    <w:rsid w:val="27910EB2"/>
    <w:rsid w:val="2791205B"/>
    <w:rsid w:val="27921558"/>
    <w:rsid w:val="27960276"/>
    <w:rsid w:val="27A02EA3"/>
    <w:rsid w:val="27A06D9C"/>
    <w:rsid w:val="27A40BE5"/>
    <w:rsid w:val="27A440AE"/>
    <w:rsid w:val="27AC1848"/>
    <w:rsid w:val="27B0416A"/>
    <w:rsid w:val="27B05B5F"/>
    <w:rsid w:val="27BC2C3B"/>
    <w:rsid w:val="27BD1CA7"/>
    <w:rsid w:val="27BF40EE"/>
    <w:rsid w:val="27C13C7E"/>
    <w:rsid w:val="27C46B92"/>
    <w:rsid w:val="27C546B8"/>
    <w:rsid w:val="27C6290A"/>
    <w:rsid w:val="27C72DD7"/>
    <w:rsid w:val="27C923FA"/>
    <w:rsid w:val="27CB493C"/>
    <w:rsid w:val="27DA4607"/>
    <w:rsid w:val="27DA4FB9"/>
    <w:rsid w:val="27E014F2"/>
    <w:rsid w:val="27EE3C0E"/>
    <w:rsid w:val="27FA25B3"/>
    <w:rsid w:val="2800405D"/>
    <w:rsid w:val="28013942"/>
    <w:rsid w:val="28033B5E"/>
    <w:rsid w:val="280B656E"/>
    <w:rsid w:val="280C22E7"/>
    <w:rsid w:val="280D6DBC"/>
    <w:rsid w:val="280E605F"/>
    <w:rsid w:val="28196722"/>
    <w:rsid w:val="281F201A"/>
    <w:rsid w:val="28277120"/>
    <w:rsid w:val="2829733C"/>
    <w:rsid w:val="282B09BF"/>
    <w:rsid w:val="282E038C"/>
    <w:rsid w:val="282E7D8D"/>
    <w:rsid w:val="283852AB"/>
    <w:rsid w:val="283D2292"/>
    <w:rsid w:val="284163F8"/>
    <w:rsid w:val="284303FE"/>
    <w:rsid w:val="284D302B"/>
    <w:rsid w:val="284D7976"/>
    <w:rsid w:val="284F6DA3"/>
    <w:rsid w:val="28551EE0"/>
    <w:rsid w:val="28565E8D"/>
    <w:rsid w:val="28577A06"/>
    <w:rsid w:val="285D2B42"/>
    <w:rsid w:val="28612632"/>
    <w:rsid w:val="286766E4"/>
    <w:rsid w:val="286E581F"/>
    <w:rsid w:val="287A36F4"/>
    <w:rsid w:val="287F0D0A"/>
    <w:rsid w:val="28812CD5"/>
    <w:rsid w:val="2881511B"/>
    <w:rsid w:val="2886653D"/>
    <w:rsid w:val="2893739E"/>
    <w:rsid w:val="289A78F2"/>
    <w:rsid w:val="28A075FF"/>
    <w:rsid w:val="28A16ED3"/>
    <w:rsid w:val="28A32C4B"/>
    <w:rsid w:val="28A6273B"/>
    <w:rsid w:val="28A94618"/>
    <w:rsid w:val="28B430AA"/>
    <w:rsid w:val="28B60BD0"/>
    <w:rsid w:val="28C130D1"/>
    <w:rsid w:val="28CC03F4"/>
    <w:rsid w:val="28CD5F1A"/>
    <w:rsid w:val="28CE372B"/>
    <w:rsid w:val="28CF1C92"/>
    <w:rsid w:val="28D41056"/>
    <w:rsid w:val="28D63020"/>
    <w:rsid w:val="28D92B11"/>
    <w:rsid w:val="28DC7F0B"/>
    <w:rsid w:val="28E30F46"/>
    <w:rsid w:val="28E60D8A"/>
    <w:rsid w:val="28E82D54"/>
    <w:rsid w:val="28F45255"/>
    <w:rsid w:val="28FB65E3"/>
    <w:rsid w:val="29086F52"/>
    <w:rsid w:val="290A0F1C"/>
    <w:rsid w:val="290F208E"/>
    <w:rsid w:val="290F53E0"/>
    <w:rsid w:val="29121B7F"/>
    <w:rsid w:val="29127DD1"/>
    <w:rsid w:val="291369FA"/>
    <w:rsid w:val="29192DC0"/>
    <w:rsid w:val="291A72BF"/>
    <w:rsid w:val="291B16F9"/>
    <w:rsid w:val="291B6C85"/>
    <w:rsid w:val="291D29FD"/>
    <w:rsid w:val="291E496A"/>
    <w:rsid w:val="291E49C7"/>
    <w:rsid w:val="29226266"/>
    <w:rsid w:val="292A336C"/>
    <w:rsid w:val="292D267C"/>
    <w:rsid w:val="29336DAB"/>
    <w:rsid w:val="293826F4"/>
    <w:rsid w:val="293C4DB3"/>
    <w:rsid w:val="293D4E4D"/>
    <w:rsid w:val="29422464"/>
    <w:rsid w:val="294361DC"/>
    <w:rsid w:val="294F4B81"/>
    <w:rsid w:val="29511E01"/>
    <w:rsid w:val="295310F3"/>
    <w:rsid w:val="29591D17"/>
    <w:rsid w:val="295977AD"/>
    <w:rsid w:val="295B3526"/>
    <w:rsid w:val="295D104C"/>
    <w:rsid w:val="295F4E1C"/>
    <w:rsid w:val="29653455"/>
    <w:rsid w:val="296543A4"/>
    <w:rsid w:val="29665F83"/>
    <w:rsid w:val="2967011C"/>
    <w:rsid w:val="29673C78"/>
    <w:rsid w:val="296C5733"/>
    <w:rsid w:val="296D02DD"/>
    <w:rsid w:val="296D3C10"/>
    <w:rsid w:val="296D78BD"/>
    <w:rsid w:val="29736AC1"/>
    <w:rsid w:val="29746395"/>
    <w:rsid w:val="29787C34"/>
    <w:rsid w:val="29787C43"/>
    <w:rsid w:val="298011DE"/>
    <w:rsid w:val="298E7457"/>
    <w:rsid w:val="29915199"/>
    <w:rsid w:val="299627B0"/>
    <w:rsid w:val="299802D6"/>
    <w:rsid w:val="299B6018"/>
    <w:rsid w:val="299F4469"/>
    <w:rsid w:val="29A8408B"/>
    <w:rsid w:val="29BA760A"/>
    <w:rsid w:val="29C54E43"/>
    <w:rsid w:val="29CA4207"/>
    <w:rsid w:val="29CB6407"/>
    <w:rsid w:val="29D200F7"/>
    <w:rsid w:val="29D357B2"/>
    <w:rsid w:val="29D37560"/>
    <w:rsid w:val="29DA08EE"/>
    <w:rsid w:val="29E654E5"/>
    <w:rsid w:val="29EC23D0"/>
    <w:rsid w:val="29F51284"/>
    <w:rsid w:val="29F731DA"/>
    <w:rsid w:val="29FD638B"/>
    <w:rsid w:val="2A04596B"/>
    <w:rsid w:val="2A0936FF"/>
    <w:rsid w:val="2A0B4F4C"/>
    <w:rsid w:val="2A0B6B04"/>
    <w:rsid w:val="2A0C4820"/>
    <w:rsid w:val="2A1738F0"/>
    <w:rsid w:val="2A181417"/>
    <w:rsid w:val="2A196977"/>
    <w:rsid w:val="2A1C76AC"/>
    <w:rsid w:val="2A202079"/>
    <w:rsid w:val="2A204F8D"/>
    <w:rsid w:val="2A2B114A"/>
    <w:rsid w:val="2A331DAD"/>
    <w:rsid w:val="2A353D77"/>
    <w:rsid w:val="2A391AB9"/>
    <w:rsid w:val="2A3E70CF"/>
    <w:rsid w:val="2A41271B"/>
    <w:rsid w:val="2A44220C"/>
    <w:rsid w:val="2A454BC0"/>
    <w:rsid w:val="2A524929"/>
    <w:rsid w:val="2A555A6C"/>
    <w:rsid w:val="2A5E151F"/>
    <w:rsid w:val="2A612DBE"/>
    <w:rsid w:val="2A622692"/>
    <w:rsid w:val="2A6329AE"/>
    <w:rsid w:val="2A691C72"/>
    <w:rsid w:val="2A6E0ADA"/>
    <w:rsid w:val="2A707A61"/>
    <w:rsid w:val="2A757CA7"/>
    <w:rsid w:val="2A7D127A"/>
    <w:rsid w:val="2A8B3997"/>
    <w:rsid w:val="2A8F65AE"/>
    <w:rsid w:val="2A9211C9"/>
    <w:rsid w:val="2A924D25"/>
    <w:rsid w:val="2A97058D"/>
    <w:rsid w:val="2A9739BC"/>
    <w:rsid w:val="2A994305"/>
    <w:rsid w:val="2A9A4101"/>
    <w:rsid w:val="2AAD0BB7"/>
    <w:rsid w:val="2AB27175"/>
    <w:rsid w:val="2AB70C30"/>
    <w:rsid w:val="2ABA427C"/>
    <w:rsid w:val="2ABD4243"/>
    <w:rsid w:val="2AC35EDE"/>
    <w:rsid w:val="2AC5334C"/>
    <w:rsid w:val="2AC84BEB"/>
    <w:rsid w:val="2AC967C3"/>
    <w:rsid w:val="2AD25A69"/>
    <w:rsid w:val="2AD27817"/>
    <w:rsid w:val="2AD43590"/>
    <w:rsid w:val="2AD74E2E"/>
    <w:rsid w:val="2ADC2444"/>
    <w:rsid w:val="2AE35581"/>
    <w:rsid w:val="2AEF03C9"/>
    <w:rsid w:val="2AEF0632"/>
    <w:rsid w:val="2AF217E0"/>
    <w:rsid w:val="2AFD097C"/>
    <w:rsid w:val="2B073515"/>
    <w:rsid w:val="2B073965"/>
    <w:rsid w:val="2B0C3752"/>
    <w:rsid w:val="2B141BDE"/>
    <w:rsid w:val="2B18339A"/>
    <w:rsid w:val="2B200583"/>
    <w:rsid w:val="2B2C33CC"/>
    <w:rsid w:val="2B2D4A4E"/>
    <w:rsid w:val="2B365FF8"/>
    <w:rsid w:val="2B373B1E"/>
    <w:rsid w:val="2B3900CC"/>
    <w:rsid w:val="2B404781"/>
    <w:rsid w:val="2B4125A7"/>
    <w:rsid w:val="2B413A08"/>
    <w:rsid w:val="2B473D61"/>
    <w:rsid w:val="2B4A583C"/>
    <w:rsid w:val="2B4F24F4"/>
    <w:rsid w:val="2B4F2C16"/>
    <w:rsid w:val="2B51016E"/>
    <w:rsid w:val="2B5605C8"/>
    <w:rsid w:val="2B577D1D"/>
    <w:rsid w:val="2B5B15BB"/>
    <w:rsid w:val="2B5B780D"/>
    <w:rsid w:val="2B5E10AB"/>
    <w:rsid w:val="2B5F1934"/>
    <w:rsid w:val="2B662AB1"/>
    <w:rsid w:val="2B683CD8"/>
    <w:rsid w:val="2B6978BA"/>
    <w:rsid w:val="2B6C1A1A"/>
    <w:rsid w:val="2B6F5066"/>
    <w:rsid w:val="2B6F540B"/>
    <w:rsid w:val="2B710DDE"/>
    <w:rsid w:val="2B74267D"/>
    <w:rsid w:val="2B746B21"/>
    <w:rsid w:val="2B764BC1"/>
    <w:rsid w:val="2B791F31"/>
    <w:rsid w:val="2B7B7EAF"/>
    <w:rsid w:val="2B7C7B3D"/>
    <w:rsid w:val="2B8C3E6A"/>
    <w:rsid w:val="2B8D373E"/>
    <w:rsid w:val="2B8E1990"/>
    <w:rsid w:val="2B960845"/>
    <w:rsid w:val="2B966A97"/>
    <w:rsid w:val="2B9722F6"/>
    <w:rsid w:val="2BAA2542"/>
    <w:rsid w:val="2BB1567F"/>
    <w:rsid w:val="2BB36E3A"/>
    <w:rsid w:val="2BBA09D7"/>
    <w:rsid w:val="2BC43604"/>
    <w:rsid w:val="2BD870AF"/>
    <w:rsid w:val="2BDB6BA0"/>
    <w:rsid w:val="2BDD0504"/>
    <w:rsid w:val="2BDD6474"/>
    <w:rsid w:val="2BE07D12"/>
    <w:rsid w:val="2BE75544"/>
    <w:rsid w:val="2BEC2B5B"/>
    <w:rsid w:val="2BF10171"/>
    <w:rsid w:val="2BF51A0F"/>
    <w:rsid w:val="2BFF288E"/>
    <w:rsid w:val="2C025EDA"/>
    <w:rsid w:val="2C0A4D8F"/>
    <w:rsid w:val="2C136339"/>
    <w:rsid w:val="2C155C0E"/>
    <w:rsid w:val="2C1A4B3A"/>
    <w:rsid w:val="2C1D4AC2"/>
    <w:rsid w:val="2C230712"/>
    <w:rsid w:val="2C286E71"/>
    <w:rsid w:val="2C29048A"/>
    <w:rsid w:val="2C2C73FB"/>
    <w:rsid w:val="2C2F6B4B"/>
    <w:rsid w:val="2C3075D9"/>
    <w:rsid w:val="2C31448E"/>
    <w:rsid w:val="2C3F0EDD"/>
    <w:rsid w:val="2C423829"/>
    <w:rsid w:val="2C432176"/>
    <w:rsid w:val="2C4330E2"/>
    <w:rsid w:val="2C484235"/>
    <w:rsid w:val="2C4E2B62"/>
    <w:rsid w:val="2C575896"/>
    <w:rsid w:val="2C5863D0"/>
    <w:rsid w:val="2C602C01"/>
    <w:rsid w:val="2C6170A5"/>
    <w:rsid w:val="2C644EC7"/>
    <w:rsid w:val="2C6B3A80"/>
    <w:rsid w:val="2C725C4B"/>
    <w:rsid w:val="2C730B86"/>
    <w:rsid w:val="2C7768C8"/>
    <w:rsid w:val="2C7867B7"/>
    <w:rsid w:val="2C7B0A57"/>
    <w:rsid w:val="2C7C7A3B"/>
    <w:rsid w:val="2C83526D"/>
    <w:rsid w:val="2C840FE5"/>
    <w:rsid w:val="2C8608B9"/>
    <w:rsid w:val="2C89312C"/>
    <w:rsid w:val="2C8E7311"/>
    <w:rsid w:val="2C934D84"/>
    <w:rsid w:val="2C950AFD"/>
    <w:rsid w:val="2C974875"/>
    <w:rsid w:val="2C9A25B7"/>
    <w:rsid w:val="2C9A6113"/>
    <w:rsid w:val="2C9C00DD"/>
    <w:rsid w:val="2C9D5C03"/>
    <w:rsid w:val="2C9F35EE"/>
    <w:rsid w:val="2CAC567D"/>
    <w:rsid w:val="2CAD5E46"/>
    <w:rsid w:val="2CB01DDA"/>
    <w:rsid w:val="2CB25B52"/>
    <w:rsid w:val="2CB30362"/>
    <w:rsid w:val="2CB61A5F"/>
    <w:rsid w:val="2CBF201D"/>
    <w:rsid w:val="2CBF5B79"/>
    <w:rsid w:val="2CCD64E8"/>
    <w:rsid w:val="2CD21D51"/>
    <w:rsid w:val="2CD71115"/>
    <w:rsid w:val="2CE51A84"/>
    <w:rsid w:val="2CE81574"/>
    <w:rsid w:val="2CEF46B1"/>
    <w:rsid w:val="2CF03F85"/>
    <w:rsid w:val="2CF76820"/>
    <w:rsid w:val="2CFC41F4"/>
    <w:rsid w:val="2D0619FA"/>
    <w:rsid w:val="2D063AA5"/>
    <w:rsid w:val="2D1A7254"/>
    <w:rsid w:val="2D1B36F8"/>
    <w:rsid w:val="2D1C2FCC"/>
    <w:rsid w:val="2D1E4F96"/>
    <w:rsid w:val="2D215F24"/>
    <w:rsid w:val="2D216834"/>
    <w:rsid w:val="2D241E80"/>
    <w:rsid w:val="2D266C91"/>
    <w:rsid w:val="2D2D6F87"/>
    <w:rsid w:val="2D371BB4"/>
    <w:rsid w:val="2D3C541C"/>
    <w:rsid w:val="2D477265"/>
    <w:rsid w:val="2D480265"/>
    <w:rsid w:val="2D4A5D8B"/>
    <w:rsid w:val="2D4B6B2F"/>
    <w:rsid w:val="2D4C4AC2"/>
    <w:rsid w:val="2D564730"/>
    <w:rsid w:val="2D597D7C"/>
    <w:rsid w:val="2D630BFB"/>
    <w:rsid w:val="2D684463"/>
    <w:rsid w:val="2D6B7AAF"/>
    <w:rsid w:val="2D6F134E"/>
    <w:rsid w:val="2D776454"/>
    <w:rsid w:val="2D7B5F44"/>
    <w:rsid w:val="2D7E3C87"/>
    <w:rsid w:val="2D811081"/>
    <w:rsid w:val="2D8132AC"/>
    <w:rsid w:val="2D8D7A9E"/>
    <w:rsid w:val="2D940DB4"/>
    <w:rsid w:val="2D983721"/>
    <w:rsid w:val="2D9B2143"/>
    <w:rsid w:val="2D9E1C33"/>
    <w:rsid w:val="2D9E7E85"/>
    <w:rsid w:val="2DA60AE7"/>
    <w:rsid w:val="2DA84860"/>
    <w:rsid w:val="2DAC25A2"/>
    <w:rsid w:val="2DB815CA"/>
    <w:rsid w:val="2DB87198"/>
    <w:rsid w:val="2DB9081B"/>
    <w:rsid w:val="2DBB4593"/>
    <w:rsid w:val="2DC07DFB"/>
    <w:rsid w:val="2DC31699"/>
    <w:rsid w:val="2DC53663"/>
    <w:rsid w:val="2DCE076A"/>
    <w:rsid w:val="2DCE5BE2"/>
    <w:rsid w:val="2DD07F16"/>
    <w:rsid w:val="2DD37B2E"/>
    <w:rsid w:val="2DD75C3B"/>
    <w:rsid w:val="2DDC3596"/>
    <w:rsid w:val="2DE53D06"/>
    <w:rsid w:val="2DEC299E"/>
    <w:rsid w:val="2DEF06E0"/>
    <w:rsid w:val="2DEF624E"/>
    <w:rsid w:val="2DF126AA"/>
    <w:rsid w:val="2DF16206"/>
    <w:rsid w:val="2DF33D2D"/>
    <w:rsid w:val="2DF714A1"/>
    <w:rsid w:val="2E026666"/>
    <w:rsid w:val="2E0F48DF"/>
    <w:rsid w:val="2E1B3283"/>
    <w:rsid w:val="2E1F4301"/>
    <w:rsid w:val="2E20089A"/>
    <w:rsid w:val="2E250712"/>
    <w:rsid w:val="2E262C57"/>
    <w:rsid w:val="2E2760CC"/>
    <w:rsid w:val="2E3D58F0"/>
    <w:rsid w:val="2E422F06"/>
    <w:rsid w:val="2E426A62"/>
    <w:rsid w:val="2E440A2C"/>
    <w:rsid w:val="2E444588"/>
    <w:rsid w:val="2E552C39"/>
    <w:rsid w:val="2E55723E"/>
    <w:rsid w:val="2E580034"/>
    <w:rsid w:val="2E5C5B0D"/>
    <w:rsid w:val="2E5D3CD5"/>
    <w:rsid w:val="2E641A7D"/>
    <w:rsid w:val="2E692241"/>
    <w:rsid w:val="2E7632C6"/>
    <w:rsid w:val="2E7806D6"/>
    <w:rsid w:val="2E786D60"/>
    <w:rsid w:val="2E7A6874"/>
    <w:rsid w:val="2E7D3F3E"/>
    <w:rsid w:val="2E7F7CB6"/>
    <w:rsid w:val="2E8203DE"/>
    <w:rsid w:val="2E8928E3"/>
    <w:rsid w:val="2E94741A"/>
    <w:rsid w:val="2E9774DC"/>
    <w:rsid w:val="2EA45B4E"/>
    <w:rsid w:val="2EA4771D"/>
    <w:rsid w:val="2EB001C3"/>
    <w:rsid w:val="2EB462EC"/>
    <w:rsid w:val="2EB61D24"/>
    <w:rsid w:val="2EB92876"/>
    <w:rsid w:val="2EBC2E1B"/>
    <w:rsid w:val="2EBC4A66"/>
    <w:rsid w:val="2EBE2287"/>
    <w:rsid w:val="2EC15BD9"/>
    <w:rsid w:val="2EC27BA3"/>
    <w:rsid w:val="2EC456C9"/>
    <w:rsid w:val="2EC563D6"/>
    <w:rsid w:val="2ECE479A"/>
    <w:rsid w:val="2ECE564A"/>
    <w:rsid w:val="2ECF2712"/>
    <w:rsid w:val="2ED00512"/>
    <w:rsid w:val="2ED51684"/>
    <w:rsid w:val="2ED7364E"/>
    <w:rsid w:val="2EDC0C65"/>
    <w:rsid w:val="2EDC6EB7"/>
    <w:rsid w:val="2EE10029"/>
    <w:rsid w:val="2EE95130"/>
    <w:rsid w:val="2EEB0EA8"/>
    <w:rsid w:val="2EEF6BEA"/>
    <w:rsid w:val="2EF02962"/>
    <w:rsid w:val="2EF17594"/>
    <w:rsid w:val="2F00243A"/>
    <w:rsid w:val="2F025A79"/>
    <w:rsid w:val="2F0C46EC"/>
    <w:rsid w:val="2F126434"/>
    <w:rsid w:val="2F132180"/>
    <w:rsid w:val="2F146650"/>
    <w:rsid w:val="2F210D6D"/>
    <w:rsid w:val="2F236894"/>
    <w:rsid w:val="2F2919D0"/>
    <w:rsid w:val="2F2A282C"/>
    <w:rsid w:val="2F2D7712"/>
    <w:rsid w:val="2F302D5E"/>
    <w:rsid w:val="2F324D29"/>
    <w:rsid w:val="2F3565C7"/>
    <w:rsid w:val="2F364819"/>
    <w:rsid w:val="2F370591"/>
    <w:rsid w:val="2F3C5BA7"/>
    <w:rsid w:val="2F3E191F"/>
    <w:rsid w:val="2F3F2FA2"/>
    <w:rsid w:val="2F4058E6"/>
    <w:rsid w:val="2F41392E"/>
    <w:rsid w:val="2F414F6C"/>
    <w:rsid w:val="2F464330"/>
    <w:rsid w:val="2F4A2D72"/>
    <w:rsid w:val="2F4D3910"/>
    <w:rsid w:val="2F5051AF"/>
    <w:rsid w:val="2F522CD5"/>
    <w:rsid w:val="2F594063"/>
    <w:rsid w:val="2F5C1DA5"/>
    <w:rsid w:val="2F5C3122"/>
    <w:rsid w:val="2F6C2E99"/>
    <w:rsid w:val="2F7470EF"/>
    <w:rsid w:val="2F827A5E"/>
    <w:rsid w:val="2F912E6A"/>
    <w:rsid w:val="2F923A19"/>
    <w:rsid w:val="2F99570A"/>
    <w:rsid w:val="2FA06136"/>
    <w:rsid w:val="2FA12EAC"/>
    <w:rsid w:val="2FAA48BF"/>
    <w:rsid w:val="2FAB0637"/>
    <w:rsid w:val="2FAC4ADB"/>
    <w:rsid w:val="2FAD0853"/>
    <w:rsid w:val="2FB219C5"/>
    <w:rsid w:val="2FB67708"/>
    <w:rsid w:val="2FBC1D2B"/>
    <w:rsid w:val="2FBC45F2"/>
    <w:rsid w:val="2FC811E9"/>
    <w:rsid w:val="2FC949E6"/>
    <w:rsid w:val="2FCA6D0F"/>
    <w:rsid w:val="2FCB35A6"/>
    <w:rsid w:val="2FCF07C9"/>
    <w:rsid w:val="2FD656B4"/>
    <w:rsid w:val="2FDB53C0"/>
    <w:rsid w:val="2FE53EEE"/>
    <w:rsid w:val="2FF248C3"/>
    <w:rsid w:val="2FF3108F"/>
    <w:rsid w:val="2FF344B8"/>
    <w:rsid w:val="2FF40230"/>
    <w:rsid w:val="2FFE4C0B"/>
    <w:rsid w:val="3002294D"/>
    <w:rsid w:val="300264A9"/>
    <w:rsid w:val="3011493E"/>
    <w:rsid w:val="30131DC2"/>
    <w:rsid w:val="30182170"/>
    <w:rsid w:val="30184A37"/>
    <w:rsid w:val="301D6BAD"/>
    <w:rsid w:val="30204B81"/>
    <w:rsid w:val="30244B9F"/>
    <w:rsid w:val="302F1268"/>
    <w:rsid w:val="302F2517"/>
    <w:rsid w:val="303348B4"/>
    <w:rsid w:val="30337920"/>
    <w:rsid w:val="303453F9"/>
    <w:rsid w:val="303F76FD"/>
    <w:rsid w:val="30420F9B"/>
    <w:rsid w:val="305111DE"/>
    <w:rsid w:val="305D273A"/>
    <w:rsid w:val="305D4027"/>
    <w:rsid w:val="305D7B83"/>
    <w:rsid w:val="30601421"/>
    <w:rsid w:val="306058C5"/>
    <w:rsid w:val="306C1990"/>
    <w:rsid w:val="307153DD"/>
    <w:rsid w:val="307D1FD3"/>
    <w:rsid w:val="30801FAB"/>
    <w:rsid w:val="30830B7D"/>
    <w:rsid w:val="3086483E"/>
    <w:rsid w:val="30872E52"/>
    <w:rsid w:val="30874C00"/>
    <w:rsid w:val="308855D1"/>
    <w:rsid w:val="308B2942"/>
    <w:rsid w:val="308B46F0"/>
    <w:rsid w:val="308F7DEE"/>
    <w:rsid w:val="309612E7"/>
    <w:rsid w:val="309A2B85"/>
    <w:rsid w:val="309D4424"/>
    <w:rsid w:val="30A80D53"/>
    <w:rsid w:val="30A9101A"/>
    <w:rsid w:val="30A9726C"/>
    <w:rsid w:val="30AD0B0B"/>
    <w:rsid w:val="30B359F5"/>
    <w:rsid w:val="30B67293"/>
    <w:rsid w:val="30B80A53"/>
    <w:rsid w:val="30C45E54"/>
    <w:rsid w:val="30C47C02"/>
    <w:rsid w:val="30CF6683"/>
    <w:rsid w:val="30D6155F"/>
    <w:rsid w:val="30E43E01"/>
    <w:rsid w:val="30E67B79"/>
    <w:rsid w:val="30F009F7"/>
    <w:rsid w:val="30F5600E"/>
    <w:rsid w:val="30F73B34"/>
    <w:rsid w:val="30F878AC"/>
    <w:rsid w:val="30FA7AC8"/>
    <w:rsid w:val="30FE32FE"/>
    <w:rsid w:val="3102072B"/>
    <w:rsid w:val="3103697D"/>
    <w:rsid w:val="310B3A83"/>
    <w:rsid w:val="31132938"/>
    <w:rsid w:val="311961A0"/>
    <w:rsid w:val="311D7312"/>
    <w:rsid w:val="31265672"/>
    <w:rsid w:val="312839F7"/>
    <w:rsid w:val="31321010"/>
    <w:rsid w:val="313A7EC4"/>
    <w:rsid w:val="31402441"/>
    <w:rsid w:val="314174A5"/>
    <w:rsid w:val="31440D43"/>
    <w:rsid w:val="31476A7C"/>
    <w:rsid w:val="314A70F7"/>
    <w:rsid w:val="314D19A6"/>
    <w:rsid w:val="31554CFE"/>
    <w:rsid w:val="31576CC8"/>
    <w:rsid w:val="315A40C3"/>
    <w:rsid w:val="31603DCF"/>
    <w:rsid w:val="316B3526"/>
    <w:rsid w:val="316F4012"/>
    <w:rsid w:val="317038E6"/>
    <w:rsid w:val="31745184"/>
    <w:rsid w:val="317E24A7"/>
    <w:rsid w:val="317F1D7B"/>
    <w:rsid w:val="31812575"/>
    <w:rsid w:val="318178A1"/>
    <w:rsid w:val="31834F09"/>
    <w:rsid w:val="31864EB8"/>
    <w:rsid w:val="31886E82"/>
    <w:rsid w:val="318B24CE"/>
    <w:rsid w:val="318C34DD"/>
    <w:rsid w:val="3192358B"/>
    <w:rsid w:val="31927D00"/>
    <w:rsid w:val="319C7200"/>
    <w:rsid w:val="319E0249"/>
    <w:rsid w:val="31A87524"/>
    <w:rsid w:val="31AA329C"/>
    <w:rsid w:val="31AB491E"/>
    <w:rsid w:val="31AD0696"/>
    <w:rsid w:val="31AE76A3"/>
    <w:rsid w:val="31AF440F"/>
    <w:rsid w:val="31B95877"/>
    <w:rsid w:val="31C205E6"/>
    <w:rsid w:val="31C82C7F"/>
    <w:rsid w:val="31D10829"/>
    <w:rsid w:val="31D420C7"/>
    <w:rsid w:val="31D82DA0"/>
    <w:rsid w:val="31EB11BF"/>
    <w:rsid w:val="31F03846"/>
    <w:rsid w:val="31F15893"/>
    <w:rsid w:val="31F2254D"/>
    <w:rsid w:val="31F300EE"/>
    <w:rsid w:val="320329AC"/>
    <w:rsid w:val="3203475A"/>
    <w:rsid w:val="320B677E"/>
    <w:rsid w:val="320D5288"/>
    <w:rsid w:val="320F28B0"/>
    <w:rsid w:val="32130E41"/>
    <w:rsid w:val="32144BB9"/>
    <w:rsid w:val="321A2D0F"/>
    <w:rsid w:val="32230959"/>
    <w:rsid w:val="3223322E"/>
    <w:rsid w:val="32233775"/>
    <w:rsid w:val="322E7A29"/>
    <w:rsid w:val="32340DB8"/>
    <w:rsid w:val="3239017C"/>
    <w:rsid w:val="323B2146"/>
    <w:rsid w:val="324A2ACB"/>
    <w:rsid w:val="32502792"/>
    <w:rsid w:val="325356E2"/>
    <w:rsid w:val="32543208"/>
    <w:rsid w:val="325A6A70"/>
    <w:rsid w:val="325B4596"/>
    <w:rsid w:val="325B5E1C"/>
    <w:rsid w:val="325B6344"/>
    <w:rsid w:val="3260395B"/>
    <w:rsid w:val="3264169D"/>
    <w:rsid w:val="3264344B"/>
    <w:rsid w:val="32653C91"/>
    <w:rsid w:val="32696CB3"/>
    <w:rsid w:val="326B46FA"/>
    <w:rsid w:val="32717916"/>
    <w:rsid w:val="32732014"/>
    <w:rsid w:val="327360D5"/>
    <w:rsid w:val="327B2543"/>
    <w:rsid w:val="327F64D7"/>
    <w:rsid w:val="32805DAB"/>
    <w:rsid w:val="3283636F"/>
    <w:rsid w:val="3284589B"/>
    <w:rsid w:val="3287538B"/>
    <w:rsid w:val="3291620A"/>
    <w:rsid w:val="32917FB8"/>
    <w:rsid w:val="32967772"/>
    <w:rsid w:val="329B0E37"/>
    <w:rsid w:val="329F26D5"/>
    <w:rsid w:val="32AC7161"/>
    <w:rsid w:val="32B37F2E"/>
    <w:rsid w:val="32B53CA7"/>
    <w:rsid w:val="32B67A1F"/>
    <w:rsid w:val="32BC3B2E"/>
    <w:rsid w:val="32C0264B"/>
    <w:rsid w:val="32D0288E"/>
    <w:rsid w:val="32D3237F"/>
    <w:rsid w:val="32D54349"/>
    <w:rsid w:val="32D66E37"/>
    <w:rsid w:val="32DC1AA8"/>
    <w:rsid w:val="32DD0992"/>
    <w:rsid w:val="32DD4FAB"/>
    <w:rsid w:val="32DF6F75"/>
    <w:rsid w:val="32E93950"/>
    <w:rsid w:val="32EE0F67"/>
    <w:rsid w:val="32F04CDF"/>
    <w:rsid w:val="32F72511"/>
    <w:rsid w:val="32FF0DF3"/>
    <w:rsid w:val="3301513E"/>
    <w:rsid w:val="33096785"/>
    <w:rsid w:val="330C763F"/>
    <w:rsid w:val="330E785B"/>
    <w:rsid w:val="3317670F"/>
    <w:rsid w:val="33180DAC"/>
    <w:rsid w:val="33182487"/>
    <w:rsid w:val="331B66F2"/>
    <w:rsid w:val="33203425"/>
    <w:rsid w:val="332130EA"/>
    <w:rsid w:val="332300F4"/>
    <w:rsid w:val="33233A9D"/>
    <w:rsid w:val="33264BA4"/>
    <w:rsid w:val="33276F01"/>
    <w:rsid w:val="332B21BB"/>
    <w:rsid w:val="333077D1"/>
    <w:rsid w:val="333C6ED8"/>
    <w:rsid w:val="33541711"/>
    <w:rsid w:val="33557238"/>
    <w:rsid w:val="3358616F"/>
    <w:rsid w:val="33586728"/>
    <w:rsid w:val="335C2374"/>
    <w:rsid w:val="335E60EC"/>
    <w:rsid w:val="3361798A"/>
    <w:rsid w:val="336254B1"/>
    <w:rsid w:val="33633703"/>
    <w:rsid w:val="336449CE"/>
    <w:rsid w:val="336456CD"/>
    <w:rsid w:val="336A2681"/>
    <w:rsid w:val="336B60FB"/>
    <w:rsid w:val="33751688"/>
    <w:rsid w:val="337A7C1E"/>
    <w:rsid w:val="3381627F"/>
    <w:rsid w:val="338E62A6"/>
    <w:rsid w:val="338F274A"/>
    <w:rsid w:val="339147B5"/>
    <w:rsid w:val="33945FB2"/>
    <w:rsid w:val="33963EB7"/>
    <w:rsid w:val="33983272"/>
    <w:rsid w:val="33995376"/>
    <w:rsid w:val="339A10EE"/>
    <w:rsid w:val="339C09C3"/>
    <w:rsid w:val="339C4E66"/>
    <w:rsid w:val="339E473B"/>
    <w:rsid w:val="33A03224"/>
    <w:rsid w:val="33A1247D"/>
    <w:rsid w:val="33B2468A"/>
    <w:rsid w:val="33B64797"/>
    <w:rsid w:val="33B91574"/>
    <w:rsid w:val="33BA52ED"/>
    <w:rsid w:val="33BE336B"/>
    <w:rsid w:val="33C02A0F"/>
    <w:rsid w:val="33C10E62"/>
    <w:rsid w:val="33C30645"/>
    <w:rsid w:val="33C71857"/>
    <w:rsid w:val="33CA19D4"/>
    <w:rsid w:val="33D22636"/>
    <w:rsid w:val="33D60378"/>
    <w:rsid w:val="33E17F12"/>
    <w:rsid w:val="33E842E6"/>
    <w:rsid w:val="33F26834"/>
    <w:rsid w:val="33F407FF"/>
    <w:rsid w:val="33F425AD"/>
    <w:rsid w:val="33FB4C99"/>
    <w:rsid w:val="33FB4D82"/>
    <w:rsid w:val="340518DC"/>
    <w:rsid w:val="340C3D9A"/>
    <w:rsid w:val="340F73E6"/>
    <w:rsid w:val="3411315F"/>
    <w:rsid w:val="341449FD"/>
    <w:rsid w:val="341B5D8B"/>
    <w:rsid w:val="341C0C99"/>
    <w:rsid w:val="341C4358"/>
    <w:rsid w:val="341D5FA7"/>
    <w:rsid w:val="341E587B"/>
    <w:rsid w:val="34232E92"/>
    <w:rsid w:val="34254E5C"/>
    <w:rsid w:val="342B1D46"/>
    <w:rsid w:val="342D5ABF"/>
    <w:rsid w:val="343155AF"/>
    <w:rsid w:val="343432F1"/>
    <w:rsid w:val="34363308"/>
    <w:rsid w:val="343706EB"/>
    <w:rsid w:val="343B591B"/>
    <w:rsid w:val="344572AC"/>
    <w:rsid w:val="345D45F6"/>
    <w:rsid w:val="346E05B1"/>
    <w:rsid w:val="34711E4F"/>
    <w:rsid w:val="347656B7"/>
    <w:rsid w:val="34781430"/>
    <w:rsid w:val="347B2CCE"/>
    <w:rsid w:val="348576A9"/>
    <w:rsid w:val="34897199"/>
    <w:rsid w:val="348A10EC"/>
    <w:rsid w:val="348C4EDB"/>
    <w:rsid w:val="348D6F1C"/>
    <w:rsid w:val="348F0527"/>
    <w:rsid w:val="348F22D5"/>
    <w:rsid w:val="3491187F"/>
    <w:rsid w:val="34930017"/>
    <w:rsid w:val="34951ECC"/>
    <w:rsid w:val="34963664"/>
    <w:rsid w:val="349761A3"/>
    <w:rsid w:val="34980AC4"/>
    <w:rsid w:val="349D0E96"/>
    <w:rsid w:val="349D49F2"/>
    <w:rsid w:val="349E076A"/>
    <w:rsid w:val="34A114F5"/>
    <w:rsid w:val="34A43FD3"/>
    <w:rsid w:val="34A71D15"/>
    <w:rsid w:val="34A845B2"/>
    <w:rsid w:val="34AC10D9"/>
    <w:rsid w:val="34AD3D69"/>
    <w:rsid w:val="34AE3328"/>
    <w:rsid w:val="34B34216"/>
    <w:rsid w:val="34B91EE7"/>
    <w:rsid w:val="34B92969"/>
    <w:rsid w:val="34BE410B"/>
    <w:rsid w:val="34C93A39"/>
    <w:rsid w:val="34CA5108"/>
    <w:rsid w:val="34CC3529"/>
    <w:rsid w:val="34CD3B8D"/>
    <w:rsid w:val="34CF6B76"/>
    <w:rsid w:val="34D523DE"/>
    <w:rsid w:val="34D61600"/>
    <w:rsid w:val="34D66156"/>
    <w:rsid w:val="34D750C6"/>
    <w:rsid w:val="34DB19BE"/>
    <w:rsid w:val="34DF14AF"/>
    <w:rsid w:val="34E22D4D"/>
    <w:rsid w:val="34E27C35"/>
    <w:rsid w:val="34E46AC5"/>
    <w:rsid w:val="34E70363"/>
    <w:rsid w:val="34FA0097"/>
    <w:rsid w:val="34FA1E45"/>
    <w:rsid w:val="34FA62E8"/>
    <w:rsid w:val="34FF680C"/>
    <w:rsid w:val="35040F15"/>
    <w:rsid w:val="350902DA"/>
    <w:rsid w:val="351A6043"/>
    <w:rsid w:val="351F3659"/>
    <w:rsid w:val="35204D95"/>
    <w:rsid w:val="352B46F4"/>
    <w:rsid w:val="352D221A"/>
    <w:rsid w:val="352D3CED"/>
    <w:rsid w:val="35357321"/>
    <w:rsid w:val="35366BF5"/>
    <w:rsid w:val="3538471B"/>
    <w:rsid w:val="35410481"/>
    <w:rsid w:val="354237EC"/>
    <w:rsid w:val="35431A3E"/>
    <w:rsid w:val="35470E02"/>
    <w:rsid w:val="35487054"/>
    <w:rsid w:val="35531555"/>
    <w:rsid w:val="35563A9D"/>
    <w:rsid w:val="3558300F"/>
    <w:rsid w:val="355E0625"/>
    <w:rsid w:val="35635C3C"/>
    <w:rsid w:val="356419B4"/>
    <w:rsid w:val="35650978"/>
    <w:rsid w:val="35690D78"/>
    <w:rsid w:val="3569521C"/>
    <w:rsid w:val="356D6ABA"/>
    <w:rsid w:val="35700359"/>
    <w:rsid w:val="3574669E"/>
    <w:rsid w:val="357778BD"/>
    <w:rsid w:val="3578720D"/>
    <w:rsid w:val="357A11D7"/>
    <w:rsid w:val="357C0AAC"/>
    <w:rsid w:val="357C7345"/>
    <w:rsid w:val="357F5240"/>
    <w:rsid w:val="357F67EE"/>
    <w:rsid w:val="358160C2"/>
    <w:rsid w:val="358362DE"/>
    <w:rsid w:val="358A766C"/>
    <w:rsid w:val="358D0F0B"/>
    <w:rsid w:val="358E5865"/>
    <w:rsid w:val="3592207D"/>
    <w:rsid w:val="359A5D39"/>
    <w:rsid w:val="359A7184"/>
    <w:rsid w:val="359C2CD9"/>
    <w:rsid w:val="359D0A22"/>
    <w:rsid w:val="359D295D"/>
    <w:rsid w:val="359F08EB"/>
    <w:rsid w:val="35A61FCC"/>
    <w:rsid w:val="35A7094F"/>
    <w:rsid w:val="35A818A1"/>
    <w:rsid w:val="35AD6EB7"/>
    <w:rsid w:val="35B93AAE"/>
    <w:rsid w:val="35C13A7B"/>
    <w:rsid w:val="35C30488"/>
    <w:rsid w:val="35C82100"/>
    <w:rsid w:val="35CA60DF"/>
    <w:rsid w:val="35CF507F"/>
    <w:rsid w:val="35D8035B"/>
    <w:rsid w:val="35D97CAC"/>
    <w:rsid w:val="35DA3A24"/>
    <w:rsid w:val="35DD4AE1"/>
    <w:rsid w:val="35EA1EB9"/>
    <w:rsid w:val="35F363F2"/>
    <w:rsid w:val="35F9334B"/>
    <w:rsid w:val="35FB40C6"/>
    <w:rsid w:val="35FC0EDD"/>
    <w:rsid w:val="35FF2E36"/>
    <w:rsid w:val="36015455"/>
    <w:rsid w:val="36017959"/>
    <w:rsid w:val="360A392E"/>
    <w:rsid w:val="360B1E2F"/>
    <w:rsid w:val="360B30D1"/>
    <w:rsid w:val="360F18B9"/>
    <w:rsid w:val="361B6516"/>
    <w:rsid w:val="36266C69"/>
    <w:rsid w:val="36286E2C"/>
    <w:rsid w:val="362B6A5C"/>
    <w:rsid w:val="362C7822"/>
    <w:rsid w:val="362F1FC2"/>
    <w:rsid w:val="36324D14"/>
    <w:rsid w:val="36343134"/>
    <w:rsid w:val="36392E40"/>
    <w:rsid w:val="363C1548"/>
    <w:rsid w:val="364020BF"/>
    <w:rsid w:val="36483084"/>
    <w:rsid w:val="36484E32"/>
    <w:rsid w:val="364C66D0"/>
    <w:rsid w:val="364C7FFC"/>
    <w:rsid w:val="364F22D7"/>
    <w:rsid w:val="36541A28"/>
    <w:rsid w:val="365437D6"/>
    <w:rsid w:val="365A1ADC"/>
    <w:rsid w:val="365E4655"/>
    <w:rsid w:val="36637EBD"/>
    <w:rsid w:val="36667DB3"/>
    <w:rsid w:val="366E2AEA"/>
    <w:rsid w:val="368C11C2"/>
    <w:rsid w:val="368E7A59"/>
    <w:rsid w:val="36910587"/>
    <w:rsid w:val="369260AD"/>
    <w:rsid w:val="36987753"/>
    <w:rsid w:val="369E04F7"/>
    <w:rsid w:val="369E719B"/>
    <w:rsid w:val="36AC023A"/>
    <w:rsid w:val="36AF6C5F"/>
    <w:rsid w:val="36B129D7"/>
    <w:rsid w:val="36B14785"/>
    <w:rsid w:val="36B94C78"/>
    <w:rsid w:val="36BD137C"/>
    <w:rsid w:val="36BD312A"/>
    <w:rsid w:val="36C142AC"/>
    <w:rsid w:val="36C22E36"/>
    <w:rsid w:val="36C528E1"/>
    <w:rsid w:val="36C66559"/>
    <w:rsid w:val="36C73FA8"/>
    <w:rsid w:val="36D14E27"/>
    <w:rsid w:val="36DD557A"/>
    <w:rsid w:val="36DF6832"/>
    <w:rsid w:val="36E27034"/>
    <w:rsid w:val="36E6514A"/>
    <w:rsid w:val="36EF34FF"/>
    <w:rsid w:val="36F6373C"/>
    <w:rsid w:val="36FD3E6E"/>
    <w:rsid w:val="370C5E5F"/>
    <w:rsid w:val="370E1FEA"/>
    <w:rsid w:val="371116C7"/>
    <w:rsid w:val="37165CDA"/>
    <w:rsid w:val="371A44DE"/>
    <w:rsid w:val="371E516A"/>
    <w:rsid w:val="372413FB"/>
    <w:rsid w:val="372431A9"/>
    <w:rsid w:val="372555C4"/>
    <w:rsid w:val="372633C5"/>
    <w:rsid w:val="37295A2E"/>
    <w:rsid w:val="372C02AF"/>
    <w:rsid w:val="37304231"/>
    <w:rsid w:val="37343C8E"/>
    <w:rsid w:val="373A29CC"/>
    <w:rsid w:val="373C4996"/>
    <w:rsid w:val="373D426B"/>
    <w:rsid w:val="37515F68"/>
    <w:rsid w:val="37531CE0"/>
    <w:rsid w:val="37533A8E"/>
    <w:rsid w:val="3756096A"/>
    <w:rsid w:val="375717D0"/>
    <w:rsid w:val="3757272A"/>
    <w:rsid w:val="37582C85"/>
    <w:rsid w:val="375A306E"/>
    <w:rsid w:val="375A6BCB"/>
    <w:rsid w:val="375D490D"/>
    <w:rsid w:val="37644D2D"/>
    <w:rsid w:val="37695060"/>
    <w:rsid w:val="376B7F48"/>
    <w:rsid w:val="376C4B50"/>
    <w:rsid w:val="37704A8E"/>
    <w:rsid w:val="37712166"/>
    <w:rsid w:val="3779295A"/>
    <w:rsid w:val="377A101B"/>
    <w:rsid w:val="377C2FE5"/>
    <w:rsid w:val="377E4FAF"/>
    <w:rsid w:val="377F0D27"/>
    <w:rsid w:val="37817239"/>
    <w:rsid w:val="37887BDC"/>
    <w:rsid w:val="378B3228"/>
    <w:rsid w:val="378D51F2"/>
    <w:rsid w:val="37971171"/>
    <w:rsid w:val="37995591"/>
    <w:rsid w:val="37AB38CA"/>
    <w:rsid w:val="37AE6F16"/>
    <w:rsid w:val="37B45D65"/>
    <w:rsid w:val="37B87E49"/>
    <w:rsid w:val="37C46192"/>
    <w:rsid w:val="37C47584"/>
    <w:rsid w:val="37D13DAE"/>
    <w:rsid w:val="37D72911"/>
    <w:rsid w:val="37D83F93"/>
    <w:rsid w:val="37ED7A3F"/>
    <w:rsid w:val="37F05781"/>
    <w:rsid w:val="37F60FE9"/>
    <w:rsid w:val="37FB77DD"/>
    <w:rsid w:val="37FC2378"/>
    <w:rsid w:val="37FE1C4C"/>
    <w:rsid w:val="38001D4F"/>
    <w:rsid w:val="38097EDE"/>
    <w:rsid w:val="380A05F1"/>
    <w:rsid w:val="380A6843"/>
    <w:rsid w:val="38116670"/>
    <w:rsid w:val="381256F7"/>
    <w:rsid w:val="381551E7"/>
    <w:rsid w:val="38184EF1"/>
    <w:rsid w:val="381C6576"/>
    <w:rsid w:val="382216D7"/>
    <w:rsid w:val="38246312"/>
    <w:rsid w:val="38251072"/>
    <w:rsid w:val="38286CC9"/>
    <w:rsid w:val="383E5F98"/>
    <w:rsid w:val="384A0187"/>
    <w:rsid w:val="384D21C8"/>
    <w:rsid w:val="38514471"/>
    <w:rsid w:val="38517682"/>
    <w:rsid w:val="38563836"/>
    <w:rsid w:val="386046B4"/>
    <w:rsid w:val="38637D01"/>
    <w:rsid w:val="38651ADA"/>
    <w:rsid w:val="386B4E07"/>
    <w:rsid w:val="386C3059"/>
    <w:rsid w:val="38710670"/>
    <w:rsid w:val="38797524"/>
    <w:rsid w:val="388145BC"/>
    <w:rsid w:val="388365F5"/>
    <w:rsid w:val="388C36FB"/>
    <w:rsid w:val="388D3375"/>
    <w:rsid w:val="3894435E"/>
    <w:rsid w:val="38975BFC"/>
    <w:rsid w:val="38A722E3"/>
    <w:rsid w:val="38A81BB8"/>
    <w:rsid w:val="38AC5B4C"/>
    <w:rsid w:val="38B14F10"/>
    <w:rsid w:val="38B93DC5"/>
    <w:rsid w:val="38BB1A36"/>
    <w:rsid w:val="38C84008"/>
    <w:rsid w:val="38CD7650"/>
    <w:rsid w:val="38D34E86"/>
    <w:rsid w:val="38D97FC3"/>
    <w:rsid w:val="38E31684"/>
    <w:rsid w:val="38E83CD0"/>
    <w:rsid w:val="38ED7B8D"/>
    <w:rsid w:val="38EF5796"/>
    <w:rsid w:val="38F82310"/>
    <w:rsid w:val="38F86E2C"/>
    <w:rsid w:val="38FF3ECD"/>
    <w:rsid w:val="39071686"/>
    <w:rsid w:val="390908A8"/>
    <w:rsid w:val="390A3C01"/>
    <w:rsid w:val="390D6F7F"/>
    <w:rsid w:val="390E6249"/>
    <w:rsid w:val="3914724D"/>
    <w:rsid w:val="39162FC5"/>
    <w:rsid w:val="39180AEB"/>
    <w:rsid w:val="391F631E"/>
    <w:rsid w:val="39203E44"/>
    <w:rsid w:val="39241B86"/>
    <w:rsid w:val="3926502D"/>
    <w:rsid w:val="392A081F"/>
    <w:rsid w:val="393022D9"/>
    <w:rsid w:val="3934169D"/>
    <w:rsid w:val="39385E8A"/>
    <w:rsid w:val="393C1634"/>
    <w:rsid w:val="393C265E"/>
    <w:rsid w:val="393D49F6"/>
    <w:rsid w:val="393D67A4"/>
    <w:rsid w:val="39446403"/>
    <w:rsid w:val="394F122B"/>
    <w:rsid w:val="39504729"/>
    <w:rsid w:val="39534219"/>
    <w:rsid w:val="3954623F"/>
    <w:rsid w:val="39565AB7"/>
    <w:rsid w:val="395A55A8"/>
    <w:rsid w:val="395B4E7C"/>
    <w:rsid w:val="395C1320"/>
    <w:rsid w:val="395C361A"/>
    <w:rsid w:val="395F496C"/>
    <w:rsid w:val="39616936"/>
    <w:rsid w:val="3962445C"/>
    <w:rsid w:val="3964010B"/>
    <w:rsid w:val="396E2E01"/>
    <w:rsid w:val="396F26D5"/>
    <w:rsid w:val="39777F08"/>
    <w:rsid w:val="397D4DF2"/>
    <w:rsid w:val="398268AC"/>
    <w:rsid w:val="398A630E"/>
    <w:rsid w:val="398E0DAD"/>
    <w:rsid w:val="39A5561C"/>
    <w:rsid w:val="39AD53FB"/>
    <w:rsid w:val="39B34CB8"/>
    <w:rsid w:val="39B453DD"/>
    <w:rsid w:val="39B52A0B"/>
    <w:rsid w:val="39BA1BA2"/>
    <w:rsid w:val="39C1661B"/>
    <w:rsid w:val="39CD3FCC"/>
    <w:rsid w:val="39CD5D7A"/>
    <w:rsid w:val="39D72754"/>
    <w:rsid w:val="39D80A90"/>
    <w:rsid w:val="39DF3CFF"/>
    <w:rsid w:val="39F50E2C"/>
    <w:rsid w:val="39F838A2"/>
    <w:rsid w:val="39F94DC1"/>
    <w:rsid w:val="39FE1DE4"/>
    <w:rsid w:val="39FF7EFD"/>
    <w:rsid w:val="3A00614F"/>
    <w:rsid w:val="3A023E13"/>
    <w:rsid w:val="3A033549"/>
    <w:rsid w:val="3A045513"/>
    <w:rsid w:val="3A0472C2"/>
    <w:rsid w:val="3A190FBF"/>
    <w:rsid w:val="3A1E4827"/>
    <w:rsid w:val="3A1E65D5"/>
    <w:rsid w:val="3A200A3A"/>
    <w:rsid w:val="3A2E20C4"/>
    <w:rsid w:val="3A306308"/>
    <w:rsid w:val="3A361470"/>
    <w:rsid w:val="3A3A2CE3"/>
    <w:rsid w:val="3A4311E6"/>
    <w:rsid w:val="3A445910"/>
    <w:rsid w:val="3A461688"/>
    <w:rsid w:val="3A4B3142"/>
    <w:rsid w:val="3A4D6EBA"/>
    <w:rsid w:val="3A5340DD"/>
    <w:rsid w:val="3A577D39"/>
    <w:rsid w:val="3A59108B"/>
    <w:rsid w:val="3A60140C"/>
    <w:rsid w:val="3A612966"/>
    <w:rsid w:val="3A6164C2"/>
    <w:rsid w:val="3A6366DE"/>
    <w:rsid w:val="3A687850"/>
    <w:rsid w:val="3A695377"/>
    <w:rsid w:val="3A6A2511"/>
    <w:rsid w:val="3A712BA9"/>
    <w:rsid w:val="3A8148F1"/>
    <w:rsid w:val="3A816B64"/>
    <w:rsid w:val="3A8C0A4A"/>
    <w:rsid w:val="3A920D71"/>
    <w:rsid w:val="3A93618F"/>
    <w:rsid w:val="3A955B1C"/>
    <w:rsid w:val="3A96260F"/>
    <w:rsid w:val="3A9656E4"/>
    <w:rsid w:val="3A9C399E"/>
    <w:rsid w:val="3A9E7264"/>
    <w:rsid w:val="3AA765CB"/>
    <w:rsid w:val="3AA82343"/>
    <w:rsid w:val="3AAA7E69"/>
    <w:rsid w:val="3AAD5BAB"/>
    <w:rsid w:val="3AB17449"/>
    <w:rsid w:val="3AB450EE"/>
    <w:rsid w:val="3ABC7B9C"/>
    <w:rsid w:val="3AC53FE9"/>
    <w:rsid w:val="3AC54CA3"/>
    <w:rsid w:val="3ACA050B"/>
    <w:rsid w:val="3ACF5B21"/>
    <w:rsid w:val="3ADC6C51"/>
    <w:rsid w:val="3ADF3C25"/>
    <w:rsid w:val="3ADF5717"/>
    <w:rsid w:val="3AE50EA1"/>
    <w:rsid w:val="3AEA295B"/>
    <w:rsid w:val="3AEA64B7"/>
    <w:rsid w:val="3AEC63AA"/>
    <w:rsid w:val="3AF17846"/>
    <w:rsid w:val="3AF235BE"/>
    <w:rsid w:val="3AF410E4"/>
    <w:rsid w:val="3AF85078"/>
    <w:rsid w:val="3B0276ED"/>
    <w:rsid w:val="3B0641BF"/>
    <w:rsid w:val="3B07350D"/>
    <w:rsid w:val="3B077069"/>
    <w:rsid w:val="3B087CE3"/>
    <w:rsid w:val="3B0E664A"/>
    <w:rsid w:val="3B124C99"/>
    <w:rsid w:val="3B15244D"/>
    <w:rsid w:val="3B183024"/>
    <w:rsid w:val="3B1A10A7"/>
    <w:rsid w:val="3B225C51"/>
    <w:rsid w:val="3B255741"/>
    <w:rsid w:val="3B331C0C"/>
    <w:rsid w:val="3B343BD6"/>
    <w:rsid w:val="3B345984"/>
    <w:rsid w:val="3B3616FD"/>
    <w:rsid w:val="3B365BA1"/>
    <w:rsid w:val="3B3911ED"/>
    <w:rsid w:val="3B3A1B15"/>
    <w:rsid w:val="3B3B4F65"/>
    <w:rsid w:val="3B440C05"/>
    <w:rsid w:val="3B445EBA"/>
    <w:rsid w:val="3B471B5C"/>
    <w:rsid w:val="3B4F2582"/>
    <w:rsid w:val="3B5322AF"/>
    <w:rsid w:val="3B554279"/>
    <w:rsid w:val="3B590718"/>
    <w:rsid w:val="3B602C1D"/>
    <w:rsid w:val="3B620744"/>
    <w:rsid w:val="3B64626A"/>
    <w:rsid w:val="3B6801AB"/>
    <w:rsid w:val="3B6A53DF"/>
    <w:rsid w:val="3B732951"/>
    <w:rsid w:val="3B7641EF"/>
    <w:rsid w:val="3B765F9D"/>
    <w:rsid w:val="3B8033E1"/>
    <w:rsid w:val="3B81506E"/>
    <w:rsid w:val="3B8775E7"/>
    <w:rsid w:val="3B8A37F6"/>
    <w:rsid w:val="3B9052B1"/>
    <w:rsid w:val="3B9231F7"/>
    <w:rsid w:val="3B9528C7"/>
    <w:rsid w:val="3B9C3FD8"/>
    <w:rsid w:val="3BAF539E"/>
    <w:rsid w:val="3BB17E26"/>
    <w:rsid w:val="3BB70A8F"/>
    <w:rsid w:val="3BB963C4"/>
    <w:rsid w:val="3BBA232E"/>
    <w:rsid w:val="3BBB7E54"/>
    <w:rsid w:val="3BBF16F2"/>
    <w:rsid w:val="3BC073E4"/>
    <w:rsid w:val="3BC1546A"/>
    <w:rsid w:val="3BC47F82"/>
    <w:rsid w:val="3BC96A15"/>
    <w:rsid w:val="3BCB62E9"/>
    <w:rsid w:val="3BCE5DD9"/>
    <w:rsid w:val="3BD333EF"/>
    <w:rsid w:val="3BD827B4"/>
    <w:rsid w:val="3BDB4669"/>
    <w:rsid w:val="3BE70C49"/>
    <w:rsid w:val="3BF423D8"/>
    <w:rsid w:val="3BF45FB4"/>
    <w:rsid w:val="3BF66DD4"/>
    <w:rsid w:val="3BF910A8"/>
    <w:rsid w:val="3C0417FB"/>
    <w:rsid w:val="3C055B26"/>
    <w:rsid w:val="3C0637C5"/>
    <w:rsid w:val="3C074E47"/>
    <w:rsid w:val="3C090BBF"/>
    <w:rsid w:val="3C0F5501"/>
    <w:rsid w:val="3C1063F2"/>
    <w:rsid w:val="3C1D466B"/>
    <w:rsid w:val="3C1E3FFF"/>
    <w:rsid w:val="3C233F85"/>
    <w:rsid w:val="3C270B87"/>
    <w:rsid w:val="3C294385"/>
    <w:rsid w:val="3C3025F0"/>
    <w:rsid w:val="3C3178A8"/>
    <w:rsid w:val="3C3C2D43"/>
    <w:rsid w:val="3C406CD7"/>
    <w:rsid w:val="3C430575"/>
    <w:rsid w:val="3C4A1903"/>
    <w:rsid w:val="3C4B11D8"/>
    <w:rsid w:val="3C4B567C"/>
    <w:rsid w:val="3C522566"/>
    <w:rsid w:val="3C577B7C"/>
    <w:rsid w:val="3C6D73A0"/>
    <w:rsid w:val="3C6E4EC6"/>
    <w:rsid w:val="3C6F136A"/>
    <w:rsid w:val="3C700C3E"/>
    <w:rsid w:val="3C7249B6"/>
    <w:rsid w:val="3C74072E"/>
    <w:rsid w:val="3C8C573F"/>
    <w:rsid w:val="3C8D17F0"/>
    <w:rsid w:val="3C925059"/>
    <w:rsid w:val="3C926E07"/>
    <w:rsid w:val="3C940DD1"/>
    <w:rsid w:val="3C942B7F"/>
    <w:rsid w:val="3C9B2D3F"/>
    <w:rsid w:val="3C9E57AB"/>
    <w:rsid w:val="3CA1704A"/>
    <w:rsid w:val="3CAA05F4"/>
    <w:rsid w:val="3CAB1C76"/>
    <w:rsid w:val="3CAD3C40"/>
    <w:rsid w:val="3CB3794A"/>
    <w:rsid w:val="3CB43221"/>
    <w:rsid w:val="3CB44FCF"/>
    <w:rsid w:val="3CBA07BD"/>
    <w:rsid w:val="3CBC1920"/>
    <w:rsid w:val="3CBE19AA"/>
    <w:rsid w:val="3CBF00C1"/>
    <w:rsid w:val="3CC05722"/>
    <w:rsid w:val="3CC25EAD"/>
    <w:rsid w:val="3CD14346"/>
    <w:rsid w:val="3CD37937"/>
    <w:rsid w:val="3CDE28E0"/>
    <w:rsid w:val="3CE82ECA"/>
    <w:rsid w:val="3CF41773"/>
    <w:rsid w:val="3CF61143"/>
    <w:rsid w:val="3CFE449C"/>
    <w:rsid w:val="3D0218AD"/>
    <w:rsid w:val="3D0A2E41"/>
    <w:rsid w:val="3D0A4BEF"/>
    <w:rsid w:val="3D0F66A9"/>
    <w:rsid w:val="3D121CF5"/>
    <w:rsid w:val="3D145A6E"/>
    <w:rsid w:val="3D150BFD"/>
    <w:rsid w:val="3D1B504E"/>
    <w:rsid w:val="3D1F1F85"/>
    <w:rsid w:val="3D235CB1"/>
    <w:rsid w:val="3D251A29"/>
    <w:rsid w:val="3D2757A1"/>
    <w:rsid w:val="3D2A5291"/>
    <w:rsid w:val="3D2E4D81"/>
    <w:rsid w:val="3D2F4655"/>
    <w:rsid w:val="3D31661F"/>
    <w:rsid w:val="3D317896"/>
    <w:rsid w:val="3D324146"/>
    <w:rsid w:val="3D385DCB"/>
    <w:rsid w:val="3D3879AE"/>
    <w:rsid w:val="3D4661FC"/>
    <w:rsid w:val="3D477BF1"/>
    <w:rsid w:val="3D4F6AA6"/>
    <w:rsid w:val="3D516CC2"/>
    <w:rsid w:val="3D566086"/>
    <w:rsid w:val="3D572A5B"/>
    <w:rsid w:val="3D595B76"/>
    <w:rsid w:val="3D5A3DC8"/>
    <w:rsid w:val="3D610E5E"/>
    <w:rsid w:val="3D676AF8"/>
    <w:rsid w:val="3D695DB9"/>
    <w:rsid w:val="3D6E1446"/>
    <w:rsid w:val="3D6E1622"/>
    <w:rsid w:val="3D7604D6"/>
    <w:rsid w:val="3D7F55DD"/>
    <w:rsid w:val="3D842BF3"/>
    <w:rsid w:val="3D871138"/>
    <w:rsid w:val="3D8B21D4"/>
    <w:rsid w:val="3D8E16F8"/>
    <w:rsid w:val="3D8F1598"/>
    <w:rsid w:val="3D913562"/>
    <w:rsid w:val="3D921364"/>
    <w:rsid w:val="3D934BE4"/>
    <w:rsid w:val="3D940218"/>
    <w:rsid w:val="3D94095C"/>
    <w:rsid w:val="3D954E00"/>
    <w:rsid w:val="3D9D5A63"/>
    <w:rsid w:val="3DA1393C"/>
    <w:rsid w:val="3DA908AC"/>
    <w:rsid w:val="3DA93929"/>
    <w:rsid w:val="3DAC5CA6"/>
    <w:rsid w:val="3DAE7C70"/>
    <w:rsid w:val="3DB17760"/>
    <w:rsid w:val="3DB43B5D"/>
    <w:rsid w:val="3DB62D0F"/>
    <w:rsid w:val="3DB66B25"/>
    <w:rsid w:val="3DB72FC9"/>
    <w:rsid w:val="3DB833E8"/>
    <w:rsid w:val="3DBD6105"/>
    <w:rsid w:val="3DC513DA"/>
    <w:rsid w:val="3DC54FBA"/>
    <w:rsid w:val="3DC76F84"/>
    <w:rsid w:val="3DCB002B"/>
    <w:rsid w:val="3DCE0312"/>
    <w:rsid w:val="3DD27E02"/>
    <w:rsid w:val="3DD82F3F"/>
    <w:rsid w:val="3DDD3277"/>
    <w:rsid w:val="3DDF42CD"/>
    <w:rsid w:val="3DE03BA2"/>
    <w:rsid w:val="3DEA1923"/>
    <w:rsid w:val="3DEF482D"/>
    <w:rsid w:val="3DF134AE"/>
    <w:rsid w:val="3DF23649"/>
    <w:rsid w:val="3DF338D5"/>
    <w:rsid w:val="3DF53AF1"/>
    <w:rsid w:val="3DF5589F"/>
    <w:rsid w:val="3DFC435A"/>
    <w:rsid w:val="3E067AAC"/>
    <w:rsid w:val="3E077380"/>
    <w:rsid w:val="3E0B50C2"/>
    <w:rsid w:val="3E0B6E71"/>
    <w:rsid w:val="3E10681A"/>
    <w:rsid w:val="3E147414"/>
    <w:rsid w:val="3E1513CE"/>
    <w:rsid w:val="3E172DC5"/>
    <w:rsid w:val="3E1A5226"/>
    <w:rsid w:val="3E1C2E2C"/>
    <w:rsid w:val="3E1D4DF6"/>
    <w:rsid w:val="3E21403E"/>
    <w:rsid w:val="3E2E7003"/>
    <w:rsid w:val="3E3363C7"/>
    <w:rsid w:val="3E353902"/>
    <w:rsid w:val="3E391C30"/>
    <w:rsid w:val="3E3E1A84"/>
    <w:rsid w:val="3E42660A"/>
    <w:rsid w:val="3E432AAE"/>
    <w:rsid w:val="3E491747"/>
    <w:rsid w:val="3E5527E2"/>
    <w:rsid w:val="3E554590"/>
    <w:rsid w:val="3E5C591E"/>
    <w:rsid w:val="3E5C76CC"/>
    <w:rsid w:val="3E5E04B0"/>
    <w:rsid w:val="3E5E3444"/>
    <w:rsid w:val="3E6141C5"/>
    <w:rsid w:val="3E66679D"/>
    <w:rsid w:val="3E6E11AD"/>
    <w:rsid w:val="3E742C68"/>
    <w:rsid w:val="3E7569E0"/>
    <w:rsid w:val="3E817133"/>
    <w:rsid w:val="3E8804C1"/>
    <w:rsid w:val="3E886713"/>
    <w:rsid w:val="3E8E35FE"/>
    <w:rsid w:val="3E8F1850"/>
    <w:rsid w:val="3E8F7AA2"/>
    <w:rsid w:val="3E90381A"/>
    <w:rsid w:val="3E94330A"/>
    <w:rsid w:val="3E952BDE"/>
    <w:rsid w:val="3E9A1FA2"/>
    <w:rsid w:val="3E9B4698"/>
    <w:rsid w:val="3E9C3F6D"/>
    <w:rsid w:val="3E9C6B71"/>
    <w:rsid w:val="3EA90437"/>
    <w:rsid w:val="3EAB41B0"/>
    <w:rsid w:val="3EAD7F28"/>
    <w:rsid w:val="3EAF565D"/>
    <w:rsid w:val="3EB23790"/>
    <w:rsid w:val="3EB43064"/>
    <w:rsid w:val="3EBE2135"/>
    <w:rsid w:val="3EC15757"/>
    <w:rsid w:val="3EC3599D"/>
    <w:rsid w:val="3EC51715"/>
    <w:rsid w:val="3EC55271"/>
    <w:rsid w:val="3EC60FE9"/>
    <w:rsid w:val="3ECF4342"/>
    <w:rsid w:val="3ED03C16"/>
    <w:rsid w:val="3ED1739E"/>
    <w:rsid w:val="3ED656D0"/>
    <w:rsid w:val="3ED731F7"/>
    <w:rsid w:val="3ED75B3E"/>
    <w:rsid w:val="3EE002FD"/>
    <w:rsid w:val="3EE020AB"/>
    <w:rsid w:val="3EE5578E"/>
    <w:rsid w:val="3EE83856"/>
    <w:rsid w:val="3EF21DDE"/>
    <w:rsid w:val="3EFE69D5"/>
    <w:rsid w:val="3F0062A9"/>
    <w:rsid w:val="3F057D64"/>
    <w:rsid w:val="3F1A33BE"/>
    <w:rsid w:val="3F1C176C"/>
    <w:rsid w:val="3F283A52"/>
    <w:rsid w:val="3F312C16"/>
    <w:rsid w:val="3F3953BF"/>
    <w:rsid w:val="3F3C12AC"/>
    <w:rsid w:val="3F3E3276"/>
    <w:rsid w:val="3F3E6DD2"/>
    <w:rsid w:val="3F400D9C"/>
    <w:rsid w:val="3F424B14"/>
    <w:rsid w:val="3F486480"/>
    <w:rsid w:val="3F4A39D4"/>
    <w:rsid w:val="3F4E170B"/>
    <w:rsid w:val="3F542A99"/>
    <w:rsid w:val="3F556BF6"/>
    <w:rsid w:val="3F5605BF"/>
    <w:rsid w:val="3F584880"/>
    <w:rsid w:val="3F60143E"/>
    <w:rsid w:val="3F604F9A"/>
    <w:rsid w:val="3F663C97"/>
    <w:rsid w:val="3F6A7BC7"/>
    <w:rsid w:val="3F6E5909"/>
    <w:rsid w:val="3F710F55"/>
    <w:rsid w:val="3F7556C8"/>
    <w:rsid w:val="3F7E3672"/>
    <w:rsid w:val="3F80388E"/>
    <w:rsid w:val="3F84512C"/>
    <w:rsid w:val="3F9133A5"/>
    <w:rsid w:val="3F9409DE"/>
    <w:rsid w:val="3F964E60"/>
    <w:rsid w:val="3F982986"/>
    <w:rsid w:val="3FA27361"/>
    <w:rsid w:val="3FA330D9"/>
    <w:rsid w:val="3FA550A3"/>
    <w:rsid w:val="3FA56E51"/>
    <w:rsid w:val="3FA806EF"/>
    <w:rsid w:val="3FA927D6"/>
    <w:rsid w:val="3FB6105E"/>
    <w:rsid w:val="3FB928FC"/>
    <w:rsid w:val="3FBC288A"/>
    <w:rsid w:val="3FC01EDD"/>
    <w:rsid w:val="3FC217B1"/>
    <w:rsid w:val="3FC419CD"/>
    <w:rsid w:val="3FC512A1"/>
    <w:rsid w:val="3FD6525C"/>
    <w:rsid w:val="3FDA2830"/>
    <w:rsid w:val="3FDD2A8F"/>
    <w:rsid w:val="3FF213FE"/>
    <w:rsid w:val="3FF2594D"/>
    <w:rsid w:val="3FF628DC"/>
    <w:rsid w:val="3FF83425"/>
    <w:rsid w:val="3FFD6D5A"/>
    <w:rsid w:val="3FFF2A05"/>
    <w:rsid w:val="40093884"/>
    <w:rsid w:val="40094AB4"/>
    <w:rsid w:val="400B13AA"/>
    <w:rsid w:val="400C5122"/>
    <w:rsid w:val="4010076E"/>
    <w:rsid w:val="40112738"/>
    <w:rsid w:val="4012098A"/>
    <w:rsid w:val="40120BBF"/>
    <w:rsid w:val="401A15ED"/>
    <w:rsid w:val="402522D0"/>
    <w:rsid w:val="402661E4"/>
    <w:rsid w:val="40275AB8"/>
    <w:rsid w:val="40316936"/>
    <w:rsid w:val="40381A73"/>
    <w:rsid w:val="40387CC5"/>
    <w:rsid w:val="403A38E1"/>
    <w:rsid w:val="403A57EB"/>
    <w:rsid w:val="403C469F"/>
    <w:rsid w:val="403F1053"/>
    <w:rsid w:val="403F6921"/>
    <w:rsid w:val="40403CEE"/>
    <w:rsid w:val="4047615A"/>
    <w:rsid w:val="40534AFF"/>
    <w:rsid w:val="40580367"/>
    <w:rsid w:val="40656A62"/>
    <w:rsid w:val="406B009A"/>
    <w:rsid w:val="406B6672"/>
    <w:rsid w:val="406E7B8B"/>
    <w:rsid w:val="407451A1"/>
    <w:rsid w:val="407526A4"/>
    <w:rsid w:val="40753D8A"/>
    <w:rsid w:val="40786454"/>
    <w:rsid w:val="407927B7"/>
    <w:rsid w:val="407D392A"/>
    <w:rsid w:val="4093314D"/>
    <w:rsid w:val="40933F35"/>
    <w:rsid w:val="409436EA"/>
    <w:rsid w:val="409842FD"/>
    <w:rsid w:val="40A8309D"/>
    <w:rsid w:val="40A9471F"/>
    <w:rsid w:val="40AB0497"/>
    <w:rsid w:val="40AF1C68"/>
    <w:rsid w:val="40AF61D9"/>
    <w:rsid w:val="40B05AAD"/>
    <w:rsid w:val="40B5544A"/>
    <w:rsid w:val="40BC26A4"/>
    <w:rsid w:val="40C1308E"/>
    <w:rsid w:val="40C52A5E"/>
    <w:rsid w:val="40C95D80"/>
    <w:rsid w:val="40CD48B1"/>
    <w:rsid w:val="40D668AA"/>
    <w:rsid w:val="40D72D76"/>
    <w:rsid w:val="40D82ED1"/>
    <w:rsid w:val="40DA6FCE"/>
    <w:rsid w:val="40DF1EEB"/>
    <w:rsid w:val="40E65973"/>
    <w:rsid w:val="40E67721"/>
    <w:rsid w:val="40E85E90"/>
    <w:rsid w:val="40E95699"/>
    <w:rsid w:val="40EC5ED8"/>
    <w:rsid w:val="40EF4827"/>
    <w:rsid w:val="40F260C6"/>
    <w:rsid w:val="40F7192E"/>
    <w:rsid w:val="40F94117"/>
    <w:rsid w:val="40FE0CCC"/>
    <w:rsid w:val="41032081"/>
    <w:rsid w:val="41047ED9"/>
    <w:rsid w:val="4105229D"/>
    <w:rsid w:val="4105404B"/>
    <w:rsid w:val="41061B71"/>
    <w:rsid w:val="410A1661"/>
    <w:rsid w:val="410C0680"/>
    <w:rsid w:val="410C28BC"/>
    <w:rsid w:val="410D1152"/>
    <w:rsid w:val="410E3FFA"/>
    <w:rsid w:val="4110479E"/>
    <w:rsid w:val="41151DB4"/>
    <w:rsid w:val="41202F4F"/>
    <w:rsid w:val="41232723"/>
    <w:rsid w:val="41263FC1"/>
    <w:rsid w:val="41281AE7"/>
    <w:rsid w:val="413D1A37"/>
    <w:rsid w:val="41410DFB"/>
    <w:rsid w:val="41464D70"/>
    <w:rsid w:val="41483F38"/>
    <w:rsid w:val="414C2C82"/>
    <w:rsid w:val="414D59F2"/>
    <w:rsid w:val="414F52C6"/>
    <w:rsid w:val="41517290"/>
    <w:rsid w:val="41566655"/>
    <w:rsid w:val="415C79E3"/>
    <w:rsid w:val="415D2778"/>
    <w:rsid w:val="415D3E87"/>
    <w:rsid w:val="415E19AD"/>
    <w:rsid w:val="41626732"/>
    <w:rsid w:val="41633FB5"/>
    <w:rsid w:val="41656898"/>
    <w:rsid w:val="416845DA"/>
    <w:rsid w:val="41696777"/>
    <w:rsid w:val="416F0EAD"/>
    <w:rsid w:val="41700A00"/>
    <w:rsid w:val="4171348E"/>
    <w:rsid w:val="41744D2D"/>
    <w:rsid w:val="41754614"/>
    <w:rsid w:val="417B60BB"/>
    <w:rsid w:val="41807B75"/>
    <w:rsid w:val="418A5AB5"/>
    <w:rsid w:val="418B091F"/>
    <w:rsid w:val="418D4040"/>
    <w:rsid w:val="418D5DEE"/>
    <w:rsid w:val="4194717D"/>
    <w:rsid w:val="41986C6D"/>
    <w:rsid w:val="41994793"/>
    <w:rsid w:val="419B49AF"/>
    <w:rsid w:val="41A5138A"/>
    <w:rsid w:val="41A73354"/>
    <w:rsid w:val="41B15F81"/>
    <w:rsid w:val="41B4781F"/>
    <w:rsid w:val="41B919A4"/>
    <w:rsid w:val="41BB6E00"/>
    <w:rsid w:val="41BD2B78"/>
    <w:rsid w:val="41C04416"/>
    <w:rsid w:val="41CA7043"/>
    <w:rsid w:val="41CA785D"/>
    <w:rsid w:val="41D614EA"/>
    <w:rsid w:val="41D61543"/>
    <w:rsid w:val="41D8350E"/>
    <w:rsid w:val="41E43F89"/>
    <w:rsid w:val="41EB174A"/>
    <w:rsid w:val="41EE4ADF"/>
    <w:rsid w:val="41EF0857"/>
    <w:rsid w:val="41F145CF"/>
    <w:rsid w:val="41F66F56"/>
    <w:rsid w:val="41F97455"/>
    <w:rsid w:val="41FE0FCB"/>
    <w:rsid w:val="420C765B"/>
    <w:rsid w:val="420C7CEA"/>
    <w:rsid w:val="42132798"/>
    <w:rsid w:val="42154762"/>
    <w:rsid w:val="42164036"/>
    <w:rsid w:val="42177E0D"/>
    <w:rsid w:val="42187DAE"/>
    <w:rsid w:val="421A1D78"/>
    <w:rsid w:val="421D3616"/>
    <w:rsid w:val="42213A90"/>
    <w:rsid w:val="42233A5A"/>
    <w:rsid w:val="422624CB"/>
    <w:rsid w:val="42276243"/>
    <w:rsid w:val="42291FBB"/>
    <w:rsid w:val="422A188F"/>
    <w:rsid w:val="422B0891"/>
    <w:rsid w:val="42336996"/>
    <w:rsid w:val="423B189D"/>
    <w:rsid w:val="424010B3"/>
    <w:rsid w:val="42443F14"/>
    <w:rsid w:val="42450E81"/>
    <w:rsid w:val="42470693"/>
    <w:rsid w:val="42477E9E"/>
    <w:rsid w:val="424E1A22"/>
    <w:rsid w:val="42507548"/>
    <w:rsid w:val="425A03C6"/>
    <w:rsid w:val="425F778B"/>
    <w:rsid w:val="42672AE3"/>
    <w:rsid w:val="426D74C6"/>
    <w:rsid w:val="42756FAE"/>
    <w:rsid w:val="42813BA5"/>
    <w:rsid w:val="42814504"/>
    <w:rsid w:val="428611BC"/>
    <w:rsid w:val="4286740D"/>
    <w:rsid w:val="428B6FB3"/>
    <w:rsid w:val="428E1E1E"/>
    <w:rsid w:val="428E62C2"/>
    <w:rsid w:val="42927B60"/>
    <w:rsid w:val="429A4C67"/>
    <w:rsid w:val="429C278D"/>
    <w:rsid w:val="42BA0E65"/>
    <w:rsid w:val="42BA2C13"/>
    <w:rsid w:val="42BE04AF"/>
    <w:rsid w:val="42C52AB7"/>
    <w:rsid w:val="42C87EB5"/>
    <w:rsid w:val="42CD0B98"/>
    <w:rsid w:val="42D24401"/>
    <w:rsid w:val="42D33CD5"/>
    <w:rsid w:val="42D44F28"/>
    <w:rsid w:val="42DE2DA6"/>
    <w:rsid w:val="42E12896"/>
    <w:rsid w:val="42E3216A"/>
    <w:rsid w:val="42E36B0E"/>
    <w:rsid w:val="42E859D2"/>
    <w:rsid w:val="42EC309B"/>
    <w:rsid w:val="42EE2A85"/>
    <w:rsid w:val="42EE5221"/>
    <w:rsid w:val="42F15FC1"/>
    <w:rsid w:val="42F425C9"/>
    <w:rsid w:val="42F44377"/>
    <w:rsid w:val="42F66EFB"/>
    <w:rsid w:val="42F779C3"/>
    <w:rsid w:val="42FE51F6"/>
    <w:rsid w:val="431515CC"/>
    <w:rsid w:val="43193DDE"/>
    <w:rsid w:val="432128FF"/>
    <w:rsid w:val="43273100"/>
    <w:rsid w:val="433230F1"/>
    <w:rsid w:val="43326C4D"/>
    <w:rsid w:val="4335501B"/>
    <w:rsid w:val="4335673E"/>
    <w:rsid w:val="433E55F2"/>
    <w:rsid w:val="43421586"/>
    <w:rsid w:val="43454EAD"/>
    <w:rsid w:val="434D1CD9"/>
    <w:rsid w:val="43537184"/>
    <w:rsid w:val="435532E0"/>
    <w:rsid w:val="4359348E"/>
    <w:rsid w:val="435E7A42"/>
    <w:rsid w:val="436A4639"/>
    <w:rsid w:val="436D260D"/>
    <w:rsid w:val="43713007"/>
    <w:rsid w:val="437159C8"/>
    <w:rsid w:val="43721740"/>
    <w:rsid w:val="437466E4"/>
    <w:rsid w:val="43776B4B"/>
    <w:rsid w:val="43793E2A"/>
    <w:rsid w:val="4384354A"/>
    <w:rsid w:val="4386786A"/>
    <w:rsid w:val="43882D11"/>
    <w:rsid w:val="438E5395"/>
    <w:rsid w:val="43923B90"/>
    <w:rsid w:val="43943464"/>
    <w:rsid w:val="43943488"/>
    <w:rsid w:val="43986193"/>
    <w:rsid w:val="4399036C"/>
    <w:rsid w:val="439E0787"/>
    <w:rsid w:val="43A07D60"/>
    <w:rsid w:val="43A51B15"/>
    <w:rsid w:val="43AC6A00"/>
    <w:rsid w:val="43B6787E"/>
    <w:rsid w:val="43B9111D"/>
    <w:rsid w:val="43B92ECB"/>
    <w:rsid w:val="43C31F9B"/>
    <w:rsid w:val="43D30430"/>
    <w:rsid w:val="43D9356D"/>
    <w:rsid w:val="43DD305D"/>
    <w:rsid w:val="43DD6773"/>
    <w:rsid w:val="43DE6DD5"/>
    <w:rsid w:val="43E07DA4"/>
    <w:rsid w:val="43E443EC"/>
    <w:rsid w:val="43E72417"/>
    <w:rsid w:val="43EE7018"/>
    <w:rsid w:val="43F5039A"/>
    <w:rsid w:val="43F839F3"/>
    <w:rsid w:val="43FA3C0F"/>
    <w:rsid w:val="43FC2ACB"/>
    <w:rsid w:val="43FE4D82"/>
    <w:rsid w:val="440415BB"/>
    <w:rsid w:val="44055A2D"/>
    <w:rsid w:val="44071E88"/>
    <w:rsid w:val="440E76BA"/>
    <w:rsid w:val="4416031D"/>
    <w:rsid w:val="44170B63"/>
    <w:rsid w:val="44186102"/>
    <w:rsid w:val="44266B52"/>
    <w:rsid w:val="442B1C63"/>
    <w:rsid w:val="443332EB"/>
    <w:rsid w:val="44337121"/>
    <w:rsid w:val="443469F5"/>
    <w:rsid w:val="443609BF"/>
    <w:rsid w:val="443A225E"/>
    <w:rsid w:val="443F72CB"/>
    <w:rsid w:val="44472BCC"/>
    <w:rsid w:val="44496945"/>
    <w:rsid w:val="444A10A1"/>
    <w:rsid w:val="444A2031"/>
    <w:rsid w:val="4451216B"/>
    <w:rsid w:val="44565FEF"/>
    <w:rsid w:val="44586B88"/>
    <w:rsid w:val="44592B81"/>
    <w:rsid w:val="445D419E"/>
    <w:rsid w:val="445D5F4C"/>
    <w:rsid w:val="446134BD"/>
    <w:rsid w:val="44646CB7"/>
    <w:rsid w:val="44666B20"/>
    <w:rsid w:val="44670B79"/>
    <w:rsid w:val="446A7138"/>
    <w:rsid w:val="446B0669"/>
    <w:rsid w:val="44703ED1"/>
    <w:rsid w:val="447D039C"/>
    <w:rsid w:val="448259B3"/>
    <w:rsid w:val="4487121B"/>
    <w:rsid w:val="4491620A"/>
    <w:rsid w:val="44983428"/>
    <w:rsid w:val="449A0F4E"/>
    <w:rsid w:val="449D0A3E"/>
    <w:rsid w:val="449D459A"/>
    <w:rsid w:val="449E0454"/>
    <w:rsid w:val="44A21BB1"/>
    <w:rsid w:val="44A818BD"/>
    <w:rsid w:val="44AD6CF5"/>
    <w:rsid w:val="44AF5449"/>
    <w:rsid w:val="44B6565C"/>
    <w:rsid w:val="44BC2C73"/>
    <w:rsid w:val="44C46BB0"/>
    <w:rsid w:val="44C85ABB"/>
    <w:rsid w:val="44C90BB5"/>
    <w:rsid w:val="44CD30D2"/>
    <w:rsid w:val="44CE4B11"/>
    <w:rsid w:val="44D34460"/>
    <w:rsid w:val="44D3620E"/>
    <w:rsid w:val="44D53472"/>
    <w:rsid w:val="44DE708D"/>
    <w:rsid w:val="44DF2AD6"/>
    <w:rsid w:val="44F3065E"/>
    <w:rsid w:val="44F543D6"/>
    <w:rsid w:val="44F56185"/>
    <w:rsid w:val="44FE355A"/>
    <w:rsid w:val="44FF7003"/>
    <w:rsid w:val="450665E4"/>
    <w:rsid w:val="4508410A"/>
    <w:rsid w:val="450A60D4"/>
    <w:rsid w:val="450B4230"/>
    <w:rsid w:val="450C3C4E"/>
    <w:rsid w:val="450F36EA"/>
    <w:rsid w:val="45166D46"/>
    <w:rsid w:val="4517434D"/>
    <w:rsid w:val="452B1BA6"/>
    <w:rsid w:val="452D1DC2"/>
    <w:rsid w:val="45314E85"/>
    <w:rsid w:val="45350C77"/>
    <w:rsid w:val="4537679D"/>
    <w:rsid w:val="453C0257"/>
    <w:rsid w:val="453C2005"/>
    <w:rsid w:val="453C51A9"/>
    <w:rsid w:val="4545710C"/>
    <w:rsid w:val="45486BFC"/>
    <w:rsid w:val="45506C72"/>
    <w:rsid w:val="45561319"/>
    <w:rsid w:val="455C4456"/>
    <w:rsid w:val="45633BC2"/>
    <w:rsid w:val="4565155C"/>
    <w:rsid w:val="45660E30"/>
    <w:rsid w:val="45667082"/>
    <w:rsid w:val="4568708C"/>
    <w:rsid w:val="456A0921"/>
    <w:rsid w:val="456A6B72"/>
    <w:rsid w:val="457277D5"/>
    <w:rsid w:val="458E2F8D"/>
    <w:rsid w:val="458F65D9"/>
    <w:rsid w:val="45915A95"/>
    <w:rsid w:val="45921C25"/>
    <w:rsid w:val="45943BEF"/>
    <w:rsid w:val="45967968"/>
    <w:rsid w:val="45997458"/>
    <w:rsid w:val="459B4F7E"/>
    <w:rsid w:val="459B6D2C"/>
    <w:rsid w:val="459D0017"/>
    <w:rsid w:val="459E05CA"/>
    <w:rsid w:val="459E681C"/>
    <w:rsid w:val="45A2525D"/>
    <w:rsid w:val="45A51959"/>
    <w:rsid w:val="45AF2F03"/>
    <w:rsid w:val="45BB5620"/>
    <w:rsid w:val="45C945BA"/>
    <w:rsid w:val="45D91C54"/>
    <w:rsid w:val="45DD5596"/>
    <w:rsid w:val="45E06E35"/>
    <w:rsid w:val="45E306D3"/>
    <w:rsid w:val="45E34BAB"/>
    <w:rsid w:val="45E6269F"/>
    <w:rsid w:val="45E701C3"/>
    <w:rsid w:val="45EE1552"/>
    <w:rsid w:val="45F355D7"/>
    <w:rsid w:val="45F3589E"/>
    <w:rsid w:val="45F4468E"/>
    <w:rsid w:val="45F47CCC"/>
    <w:rsid w:val="45F60B58"/>
    <w:rsid w:val="45FE550D"/>
    <w:rsid w:val="46027484"/>
    <w:rsid w:val="460348D1"/>
    <w:rsid w:val="4605689B"/>
    <w:rsid w:val="4614088C"/>
    <w:rsid w:val="461940F5"/>
    <w:rsid w:val="461B2DDC"/>
    <w:rsid w:val="461B561D"/>
    <w:rsid w:val="461F7D3A"/>
    <w:rsid w:val="46205483"/>
    <w:rsid w:val="46284338"/>
    <w:rsid w:val="462C5BD6"/>
    <w:rsid w:val="462F56C6"/>
    <w:rsid w:val="46316596"/>
    <w:rsid w:val="46326F64"/>
    <w:rsid w:val="46354B39"/>
    <w:rsid w:val="46362EF9"/>
    <w:rsid w:val="463B22BD"/>
    <w:rsid w:val="463B752C"/>
    <w:rsid w:val="463C6585"/>
    <w:rsid w:val="463D7DE3"/>
    <w:rsid w:val="463F7FFF"/>
    <w:rsid w:val="46401681"/>
    <w:rsid w:val="46407175"/>
    <w:rsid w:val="465313B5"/>
    <w:rsid w:val="4654527A"/>
    <w:rsid w:val="46572CEA"/>
    <w:rsid w:val="465E4B3A"/>
    <w:rsid w:val="465F5FAB"/>
    <w:rsid w:val="46603AD2"/>
    <w:rsid w:val="46623CEE"/>
    <w:rsid w:val="46671304"/>
    <w:rsid w:val="467303C8"/>
    <w:rsid w:val="4674757D"/>
    <w:rsid w:val="467F445C"/>
    <w:rsid w:val="4686391A"/>
    <w:rsid w:val="46893028"/>
    <w:rsid w:val="468C0D6B"/>
    <w:rsid w:val="4691012F"/>
    <w:rsid w:val="46911EDD"/>
    <w:rsid w:val="469A5235"/>
    <w:rsid w:val="469D6AD4"/>
    <w:rsid w:val="46A460B4"/>
    <w:rsid w:val="46A80C8F"/>
    <w:rsid w:val="46A82829"/>
    <w:rsid w:val="46B1432D"/>
    <w:rsid w:val="46BD7176"/>
    <w:rsid w:val="46BF6A4A"/>
    <w:rsid w:val="46C01DCF"/>
    <w:rsid w:val="46C40504"/>
    <w:rsid w:val="46C73B51"/>
    <w:rsid w:val="46CA5A4D"/>
    <w:rsid w:val="46CD42F1"/>
    <w:rsid w:val="46D22C21"/>
    <w:rsid w:val="46D36999"/>
    <w:rsid w:val="46E841F3"/>
    <w:rsid w:val="46EA5779"/>
    <w:rsid w:val="46F32B98"/>
    <w:rsid w:val="46F54B62"/>
    <w:rsid w:val="46F6241C"/>
    <w:rsid w:val="46FF32EA"/>
    <w:rsid w:val="47022DDB"/>
    <w:rsid w:val="470628CB"/>
    <w:rsid w:val="470C1AE3"/>
    <w:rsid w:val="47136D96"/>
    <w:rsid w:val="47203553"/>
    <w:rsid w:val="47224D0F"/>
    <w:rsid w:val="47230AB1"/>
    <w:rsid w:val="472471F5"/>
    <w:rsid w:val="472610A4"/>
    <w:rsid w:val="47280A93"/>
    <w:rsid w:val="4735222F"/>
    <w:rsid w:val="47356D0C"/>
    <w:rsid w:val="47411B55"/>
    <w:rsid w:val="47456DDE"/>
    <w:rsid w:val="474B29D4"/>
    <w:rsid w:val="474D4056"/>
    <w:rsid w:val="474E2404"/>
    <w:rsid w:val="47525B10"/>
    <w:rsid w:val="475573AE"/>
    <w:rsid w:val="475831BF"/>
    <w:rsid w:val="47592085"/>
    <w:rsid w:val="47613FA5"/>
    <w:rsid w:val="47655843"/>
    <w:rsid w:val="476615BC"/>
    <w:rsid w:val="4770243A"/>
    <w:rsid w:val="477535AD"/>
    <w:rsid w:val="47767A51"/>
    <w:rsid w:val="477737C9"/>
    <w:rsid w:val="477D598D"/>
    <w:rsid w:val="477F442B"/>
    <w:rsid w:val="477F61D9"/>
    <w:rsid w:val="4780267D"/>
    <w:rsid w:val="478163F5"/>
    <w:rsid w:val="47855EE6"/>
    <w:rsid w:val="47900CBB"/>
    <w:rsid w:val="4791660D"/>
    <w:rsid w:val="479559FD"/>
    <w:rsid w:val="47972E7A"/>
    <w:rsid w:val="479A3013"/>
    <w:rsid w:val="479C6D8B"/>
    <w:rsid w:val="47B6609F"/>
    <w:rsid w:val="47B70069"/>
    <w:rsid w:val="47BC567F"/>
    <w:rsid w:val="47C42C4B"/>
    <w:rsid w:val="47C6205A"/>
    <w:rsid w:val="47C71588"/>
    <w:rsid w:val="47C77D95"/>
    <w:rsid w:val="47C87B80"/>
    <w:rsid w:val="47CA1B4A"/>
    <w:rsid w:val="47CD5197"/>
    <w:rsid w:val="47CD7BFF"/>
    <w:rsid w:val="47D31E1A"/>
    <w:rsid w:val="47D74267"/>
    <w:rsid w:val="47DA5134"/>
    <w:rsid w:val="47E114CB"/>
    <w:rsid w:val="47E26E94"/>
    <w:rsid w:val="47EA3F9B"/>
    <w:rsid w:val="47EF7803"/>
    <w:rsid w:val="47F70466"/>
    <w:rsid w:val="47F72214"/>
    <w:rsid w:val="47F92430"/>
    <w:rsid w:val="47FD3CCE"/>
    <w:rsid w:val="48013092"/>
    <w:rsid w:val="48082673"/>
    <w:rsid w:val="48085719"/>
    <w:rsid w:val="480A63EB"/>
    <w:rsid w:val="481334F1"/>
    <w:rsid w:val="481903DC"/>
    <w:rsid w:val="48246391"/>
    <w:rsid w:val="482C1B9B"/>
    <w:rsid w:val="48313978"/>
    <w:rsid w:val="48376AB4"/>
    <w:rsid w:val="48377221"/>
    <w:rsid w:val="483B06FE"/>
    <w:rsid w:val="483D40CA"/>
    <w:rsid w:val="483E7E42"/>
    <w:rsid w:val="484216E1"/>
    <w:rsid w:val="48484C47"/>
    <w:rsid w:val="484C07B1"/>
    <w:rsid w:val="484C4A70"/>
    <w:rsid w:val="485338EE"/>
    <w:rsid w:val="48537D92"/>
    <w:rsid w:val="485B09F4"/>
    <w:rsid w:val="48651873"/>
    <w:rsid w:val="48657AC5"/>
    <w:rsid w:val="48667975"/>
    <w:rsid w:val="48674249"/>
    <w:rsid w:val="486E0837"/>
    <w:rsid w:val="486E2920"/>
    <w:rsid w:val="486F26F2"/>
    <w:rsid w:val="487D7DE5"/>
    <w:rsid w:val="488241D3"/>
    <w:rsid w:val="488F3E82"/>
    <w:rsid w:val="48A16554"/>
    <w:rsid w:val="48AE0F20"/>
    <w:rsid w:val="48AE294E"/>
    <w:rsid w:val="48AE3759"/>
    <w:rsid w:val="48C42A3E"/>
    <w:rsid w:val="48C642B7"/>
    <w:rsid w:val="48C72F1C"/>
    <w:rsid w:val="48CC544E"/>
    <w:rsid w:val="48CE566A"/>
    <w:rsid w:val="48D36555"/>
    <w:rsid w:val="48DB0E88"/>
    <w:rsid w:val="48E24C72"/>
    <w:rsid w:val="48E42798"/>
    <w:rsid w:val="48E622E2"/>
    <w:rsid w:val="48E924A4"/>
    <w:rsid w:val="48EE3617"/>
    <w:rsid w:val="48EE7ABB"/>
    <w:rsid w:val="48F31397"/>
    <w:rsid w:val="48F350D1"/>
    <w:rsid w:val="48F6071D"/>
    <w:rsid w:val="48F77029"/>
    <w:rsid w:val="48FD385A"/>
    <w:rsid w:val="491C63D6"/>
    <w:rsid w:val="491D3EFC"/>
    <w:rsid w:val="491D5CAA"/>
    <w:rsid w:val="491F1A22"/>
    <w:rsid w:val="491F6AB4"/>
    <w:rsid w:val="49267254"/>
    <w:rsid w:val="49284D7B"/>
    <w:rsid w:val="49325BF9"/>
    <w:rsid w:val="493D00FA"/>
    <w:rsid w:val="493D634C"/>
    <w:rsid w:val="493E459E"/>
    <w:rsid w:val="4948541D"/>
    <w:rsid w:val="49497D73"/>
    <w:rsid w:val="495D254A"/>
    <w:rsid w:val="49667651"/>
    <w:rsid w:val="49686252"/>
    <w:rsid w:val="496F29A9"/>
    <w:rsid w:val="49746212"/>
    <w:rsid w:val="49757894"/>
    <w:rsid w:val="4977360C"/>
    <w:rsid w:val="497955D6"/>
    <w:rsid w:val="497A30FC"/>
    <w:rsid w:val="497E2BEC"/>
    <w:rsid w:val="498018FC"/>
    <w:rsid w:val="49804BB7"/>
    <w:rsid w:val="49836455"/>
    <w:rsid w:val="49855FD9"/>
    <w:rsid w:val="498606C6"/>
    <w:rsid w:val="498F5898"/>
    <w:rsid w:val="4998010E"/>
    <w:rsid w:val="4999217F"/>
    <w:rsid w:val="499A379E"/>
    <w:rsid w:val="49A235A7"/>
    <w:rsid w:val="49A85EBB"/>
    <w:rsid w:val="49AB59AC"/>
    <w:rsid w:val="49AF08D0"/>
    <w:rsid w:val="49B93C25"/>
    <w:rsid w:val="49BF629A"/>
    <w:rsid w:val="49C167BA"/>
    <w:rsid w:val="49C23377"/>
    <w:rsid w:val="49C83E68"/>
    <w:rsid w:val="49CB3958"/>
    <w:rsid w:val="49D56585"/>
    <w:rsid w:val="49D62A28"/>
    <w:rsid w:val="49D97E23"/>
    <w:rsid w:val="49DC7913"/>
    <w:rsid w:val="49DE18DD"/>
    <w:rsid w:val="49E30CA1"/>
    <w:rsid w:val="49E52C6C"/>
    <w:rsid w:val="49EE71F2"/>
    <w:rsid w:val="49F20EE5"/>
    <w:rsid w:val="49F7299F"/>
    <w:rsid w:val="49FC5DE1"/>
    <w:rsid w:val="49FD6207"/>
    <w:rsid w:val="4A051057"/>
    <w:rsid w:val="4A0550BC"/>
    <w:rsid w:val="4A0C5AE0"/>
    <w:rsid w:val="4A160FCB"/>
    <w:rsid w:val="4A190B67"/>
    <w:rsid w:val="4A1932A7"/>
    <w:rsid w:val="4A2117CA"/>
    <w:rsid w:val="4A2C089A"/>
    <w:rsid w:val="4A413C1A"/>
    <w:rsid w:val="4A4A15DE"/>
    <w:rsid w:val="4A4C4A99"/>
    <w:rsid w:val="4A4E6A63"/>
    <w:rsid w:val="4A510301"/>
    <w:rsid w:val="4A5A33C8"/>
    <w:rsid w:val="4A5B1180"/>
    <w:rsid w:val="4A5C0EAC"/>
    <w:rsid w:val="4A5F5CE1"/>
    <w:rsid w:val="4A62606A"/>
    <w:rsid w:val="4A631DE2"/>
    <w:rsid w:val="4A653DAC"/>
    <w:rsid w:val="4A6D58E4"/>
    <w:rsid w:val="4A730123"/>
    <w:rsid w:val="4A767978"/>
    <w:rsid w:val="4A7933B4"/>
    <w:rsid w:val="4A807238"/>
    <w:rsid w:val="4A821A00"/>
    <w:rsid w:val="4A873D23"/>
    <w:rsid w:val="4A9B77CE"/>
    <w:rsid w:val="4A9D70A2"/>
    <w:rsid w:val="4AA06CA1"/>
    <w:rsid w:val="4AA5064D"/>
    <w:rsid w:val="4AAE3DCD"/>
    <w:rsid w:val="4AB42918"/>
    <w:rsid w:val="4AB64608"/>
    <w:rsid w:val="4ABC6B72"/>
    <w:rsid w:val="4ABD14F2"/>
    <w:rsid w:val="4ABD5996"/>
    <w:rsid w:val="4ABD7744"/>
    <w:rsid w:val="4AC044FA"/>
    <w:rsid w:val="4AC40AD3"/>
    <w:rsid w:val="4AC7737B"/>
    <w:rsid w:val="4ACA1E61"/>
    <w:rsid w:val="4AD30D16"/>
    <w:rsid w:val="4AE01685"/>
    <w:rsid w:val="4AE178D7"/>
    <w:rsid w:val="4AE72885"/>
    <w:rsid w:val="4AF20941"/>
    <w:rsid w:val="4AF339B0"/>
    <w:rsid w:val="4AF62C56"/>
    <w:rsid w:val="4AFD3FE5"/>
    <w:rsid w:val="4B0233A9"/>
    <w:rsid w:val="4B045373"/>
    <w:rsid w:val="4B0D7838"/>
    <w:rsid w:val="4B101F6A"/>
    <w:rsid w:val="4B125CE2"/>
    <w:rsid w:val="4B1D6435"/>
    <w:rsid w:val="4B1F03FF"/>
    <w:rsid w:val="4B257098"/>
    <w:rsid w:val="4B294DDA"/>
    <w:rsid w:val="4B2A5D18"/>
    <w:rsid w:val="4B306168"/>
    <w:rsid w:val="4B31008D"/>
    <w:rsid w:val="4B35377F"/>
    <w:rsid w:val="4B38501D"/>
    <w:rsid w:val="4B39190C"/>
    <w:rsid w:val="4B3F0159"/>
    <w:rsid w:val="4B466E62"/>
    <w:rsid w:val="4B46773A"/>
    <w:rsid w:val="4B471525"/>
    <w:rsid w:val="4B4B4017"/>
    <w:rsid w:val="4B524331"/>
    <w:rsid w:val="4B531E57"/>
    <w:rsid w:val="4B565FA9"/>
    <w:rsid w:val="4B58746D"/>
    <w:rsid w:val="4B5A280F"/>
    <w:rsid w:val="4B5A4F93"/>
    <w:rsid w:val="4B616322"/>
    <w:rsid w:val="4B663938"/>
    <w:rsid w:val="4B674969"/>
    <w:rsid w:val="4B69167A"/>
    <w:rsid w:val="4B693428"/>
    <w:rsid w:val="4B775B45"/>
    <w:rsid w:val="4B785B6A"/>
    <w:rsid w:val="4B7A3887"/>
    <w:rsid w:val="4B8244EA"/>
    <w:rsid w:val="4B8262E8"/>
    <w:rsid w:val="4B920BD1"/>
    <w:rsid w:val="4B9C1A50"/>
    <w:rsid w:val="4B9D30D2"/>
    <w:rsid w:val="4BA10E14"/>
    <w:rsid w:val="4BAD5A0B"/>
    <w:rsid w:val="4BAD77B9"/>
    <w:rsid w:val="4BAF1783"/>
    <w:rsid w:val="4BAF3531"/>
    <w:rsid w:val="4BB01057"/>
    <w:rsid w:val="4BB57ADD"/>
    <w:rsid w:val="4BBA14EA"/>
    <w:rsid w:val="4BBA1ED6"/>
    <w:rsid w:val="4BBC79FC"/>
    <w:rsid w:val="4BC36FDC"/>
    <w:rsid w:val="4BC94047"/>
    <w:rsid w:val="4BC94C56"/>
    <w:rsid w:val="4BCB7C3F"/>
    <w:rsid w:val="4BD00E0E"/>
    <w:rsid w:val="4BD850D6"/>
    <w:rsid w:val="4BDC50A7"/>
    <w:rsid w:val="4BDF36EB"/>
    <w:rsid w:val="4BE551A5"/>
    <w:rsid w:val="4BED4059"/>
    <w:rsid w:val="4BF03B4A"/>
    <w:rsid w:val="4BF278C2"/>
    <w:rsid w:val="4BFA22D2"/>
    <w:rsid w:val="4C0513A3"/>
    <w:rsid w:val="4C0F4BC6"/>
    <w:rsid w:val="4C15535E"/>
    <w:rsid w:val="4C176DA8"/>
    <w:rsid w:val="4C177634"/>
    <w:rsid w:val="4C1930A0"/>
    <w:rsid w:val="4C201B69"/>
    <w:rsid w:val="4C207BF0"/>
    <w:rsid w:val="4C2832E3"/>
    <w:rsid w:val="4C2F01CE"/>
    <w:rsid w:val="4C352DFF"/>
    <w:rsid w:val="4C416153"/>
    <w:rsid w:val="4C4243A5"/>
    <w:rsid w:val="4C430E41"/>
    <w:rsid w:val="4C431ECB"/>
    <w:rsid w:val="4C433C79"/>
    <w:rsid w:val="4C4460A7"/>
    <w:rsid w:val="4C446A98"/>
    <w:rsid w:val="4C465518"/>
    <w:rsid w:val="4C55054E"/>
    <w:rsid w:val="4C5743A8"/>
    <w:rsid w:val="4C5A154C"/>
    <w:rsid w:val="4C5E6D05"/>
    <w:rsid w:val="4C602A7D"/>
    <w:rsid w:val="4C65600C"/>
    <w:rsid w:val="4C673E0C"/>
    <w:rsid w:val="4C681932"/>
    <w:rsid w:val="4C6856E3"/>
    <w:rsid w:val="4C6A38FC"/>
    <w:rsid w:val="4C7622A1"/>
    <w:rsid w:val="4C793B3F"/>
    <w:rsid w:val="4C7B1665"/>
    <w:rsid w:val="4C7F7227"/>
    <w:rsid w:val="4C806C7C"/>
    <w:rsid w:val="4C8845CA"/>
    <w:rsid w:val="4C886982"/>
    <w:rsid w:val="4C9B1D07"/>
    <w:rsid w:val="4CA0731E"/>
    <w:rsid w:val="4CA243F8"/>
    <w:rsid w:val="4CA87F80"/>
    <w:rsid w:val="4CAE3759"/>
    <w:rsid w:val="4CAF130F"/>
    <w:rsid w:val="4CB16E35"/>
    <w:rsid w:val="4CB30DFF"/>
    <w:rsid w:val="4CB71E91"/>
    <w:rsid w:val="4CBE1552"/>
    <w:rsid w:val="4CC052CA"/>
    <w:rsid w:val="4CC34DBA"/>
    <w:rsid w:val="4CD07C03"/>
    <w:rsid w:val="4CD27077"/>
    <w:rsid w:val="4CD53D41"/>
    <w:rsid w:val="4CD61836"/>
    <w:rsid w:val="4CD6689C"/>
    <w:rsid w:val="4CD73417"/>
    <w:rsid w:val="4CDD40CE"/>
    <w:rsid w:val="4CDD7C2A"/>
    <w:rsid w:val="4CE741F2"/>
    <w:rsid w:val="4CE8436B"/>
    <w:rsid w:val="4CE92A73"/>
    <w:rsid w:val="4CEA0599"/>
    <w:rsid w:val="4CEA2347"/>
    <w:rsid w:val="4CEE1E37"/>
    <w:rsid w:val="4CF03E01"/>
    <w:rsid w:val="4D0A4797"/>
    <w:rsid w:val="4D137AF0"/>
    <w:rsid w:val="4D1E7DDB"/>
    <w:rsid w:val="4D225F85"/>
    <w:rsid w:val="4D241CFD"/>
    <w:rsid w:val="4D245691"/>
    <w:rsid w:val="4D2A6BE7"/>
    <w:rsid w:val="4D302450"/>
    <w:rsid w:val="4D371A30"/>
    <w:rsid w:val="4D381304"/>
    <w:rsid w:val="4D3B375E"/>
    <w:rsid w:val="4D477799"/>
    <w:rsid w:val="4D4A4BA4"/>
    <w:rsid w:val="4D4A6F97"/>
    <w:rsid w:val="4D4F4B59"/>
    <w:rsid w:val="4D5808E6"/>
    <w:rsid w:val="4D583754"/>
    <w:rsid w:val="4D585BCC"/>
    <w:rsid w:val="4D5C424F"/>
    <w:rsid w:val="4D6245D3"/>
    <w:rsid w:val="4D640EB9"/>
    <w:rsid w:val="4D695962"/>
    <w:rsid w:val="4D6A3FBD"/>
    <w:rsid w:val="4D6C7200"/>
    <w:rsid w:val="4D6D58B3"/>
    <w:rsid w:val="4D714816"/>
    <w:rsid w:val="4D73233C"/>
    <w:rsid w:val="4D7367E0"/>
    <w:rsid w:val="4D754306"/>
    <w:rsid w:val="4D7C38E7"/>
    <w:rsid w:val="4D7C5695"/>
    <w:rsid w:val="4D7D31BB"/>
    <w:rsid w:val="4D8B3B2A"/>
    <w:rsid w:val="4D8C11B6"/>
    <w:rsid w:val="4D956757"/>
    <w:rsid w:val="4D986247"/>
    <w:rsid w:val="4D990A98"/>
    <w:rsid w:val="4D9A17D3"/>
    <w:rsid w:val="4D9A77FE"/>
    <w:rsid w:val="4D9E1AAF"/>
    <w:rsid w:val="4D9E60F4"/>
    <w:rsid w:val="4D9F75D5"/>
    <w:rsid w:val="4DA150FB"/>
    <w:rsid w:val="4DA22C22"/>
    <w:rsid w:val="4DA8648A"/>
    <w:rsid w:val="4DA951FF"/>
    <w:rsid w:val="4DAB1AD6"/>
    <w:rsid w:val="4DAD005E"/>
    <w:rsid w:val="4DB90697"/>
    <w:rsid w:val="4DBC3CE3"/>
    <w:rsid w:val="4DC112FA"/>
    <w:rsid w:val="4DC1691E"/>
    <w:rsid w:val="4DC4528E"/>
    <w:rsid w:val="4DCB03CA"/>
    <w:rsid w:val="4DCB3F26"/>
    <w:rsid w:val="4DCD321F"/>
    <w:rsid w:val="4DD3102D"/>
    <w:rsid w:val="4DD4222A"/>
    <w:rsid w:val="4DD76D6F"/>
    <w:rsid w:val="4DD86643"/>
    <w:rsid w:val="4DDD3E89"/>
    <w:rsid w:val="4DDD4ABE"/>
    <w:rsid w:val="4DE374C2"/>
    <w:rsid w:val="4DEA4CF4"/>
    <w:rsid w:val="4DEB281B"/>
    <w:rsid w:val="4DF07E31"/>
    <w:rsid w:val="4DF23A15"/>
    <w:rsid w:val="4DFF70B4"/>
    <w:rsid w:val="4E01203E"/>
    <w:rsid w:val="4E08517B"/>
    <w:rsid w:val="4E0B5AB9"/>
    <w:rsid w:val="4E0D257D"/>
    <w:rsid w:val="4E102281"/>
    <w:rsid w:val="4E110C7C"/>
    <w:rsid w:val="4E165AE9"/>
    <w:rsid w:val="4E1A4EAE"/>
    <w:rsid w:val="4E1E5BE1"/>
    <w:rsid w:val="4E1E674C"/>
    <w:rsid w:val="4E353A96"/>
    <w:rsid w:val="4E3E2C7B"/>
    <w:rsid w:val="4E3F1694"/>
    <w:rsid w:val="4E402B66"/>
    <w:rsid w:val="4E41243B"/>
    <w:rsid w:val="4E42314D"/>
    <w:rsid w:val="4E434405"/>
    <w:rsid w:val="4E485577"/>
    <w:rsid w:val="4E4A12EF"/>
    <w:rsid w:val="4E4D2A0C"/>
    <w:rsid w:val="4E50518F"/>
    <w:rsid w:val="4E510B82"/>
    <w:rsid w:val="4E54216E"/>
    <w:rsid w:val="4E564138"/>
    <w:rsid w:val="4E5959D6"/>
    <w:rsid w:val="4E5C3732"/>
    <w:rsid w:val="4E5C54C6"/>
    <w:rsid w:val="4E5F1D9B"/>
    <w:rsid w:val="4E683E6B"/>
    <w:rsid w:val="4E6D76D3"/>
    <w:rsid w:val="4E796078"/>
    <w:rsid w:val="4E814A20"/>
    <w:rsid w:val="4E86609F"/>
    <w:rsid w:val="4E880069"/>
    <w:rsid w:val="4E8F13F8"/>
    <w:rsid w:val="4E9502E8"/>
    <w:rsid w:val="4E9904C8"/>
    <w:rsid w:val="4E992277"/>
    <w:rsid w:val="4E9D1D67"/>
    <w:rsid w:val="4EA604F0"/>
    <w:rsid w:val="4EAD5D22"/>
    <w:rsid w:val="4EB23158"/>
    <w:rsid w:val="4EB250E6"/>
    <w:rsid w:val="4EB86BA1"/>
    <w:rsid w:val="4EBD5F65"/>
    <w:rsid w:val="4EC362C3"/>
    <w:rsid w:val="4EC866B8"/>
    <w:rsid w:val="4EC95D9C"/>
    <w:rsid w:val="4ECE0172"/>
    <w:rsid w:val="4ED14FC0"/>
    <w:rsid w:val="4ED412BA"/>
    <w:rsid w:val="4EE2777A"/>
    <w:rsid w:val="4EEA4880"/>
    <w:rsid w:val="4EF56E5A"/>
    <w:rsid w:val="4EF63225"/>
    <w:rsid w:val="4F073684"/>
    <w:rsid w:val="4F0973FC"/>
    <w:rsid w:val="4F0A4F22"/>
    <w:rsid w:val="4F0B3CA6"/>
    <w:rsid w:val="4F155DA1"/>
    <w:rsid w:val="4F1638C7"/>
    <w:rsid w:val="4F1B2C8C"/>
    <w:rsid w:val="4F200EBB"/>
    <w:rsid w:val="4F253B0A"/>
    <w:rsid w:val="4F2729A6"/>
    <w:rsid w:val="4F272DEC"/>
    <w:rsid w:val="4F3705BB"/>
    <w:rsid w:val="4F375215"/>
    <w:rsid w:val="4F3B1580"/>
    <w:rsid w:val="4F3B332E"/>
    <w:rsid w:val="4F42646A"/>
    <w:rsid w:val="4F477F24"/>
    <w:rsid w:val="4F4F0BFE"/>
    <w:rsid w:val="4F525119"/>
    <w:rsid w:val="4F5368C9"/>
    <w:rsid w:val="4F563CC4"/>
    <w:rsid w:val="4F5A1A06"/>
    <w:rsid w:val="4F6F03A8"/>
    <w:rsid w:val="4F764366"/>
    <w:rsid w:val="4F7A72D5"/>
    <w:rsid w:val="4F7B197C"/>
    <w:rsid w:val="4F7E2D69"/>
    <w:rsid w:val="4F8503B4"/>
    <w:rsid w:val="4F876573"/>
    <w:rsid w:val="4F8F75CF"/>
    <w:rsid w:val="4F905428"/>
    <w:rsid w:val="4F980780"/>
    <w:rsid w:val="4FA445A2"/>
    <w:rsid w:val="4FA47125"/>
    <w:rsid w:val="4FAB1C62"/>
    <w:rsid w:val="4FAE3601"/>
    <w:rsid w:val="4FB05ACA"/>
    <w:rsid w:val="4FB37368"/>
    <w:rsid w:val="4FB8497E"/>
    <w:rsid w:val="4FB9673C"/>
    <w:rsid w:val="4FBD0EDC"/>
    <w:rsid w:val="4FC275AB"/>
    <w:rsid w:val="4FC363DA"/>
    <w:rsid w:val="4FCA4B9F"/>
    <w:rsid w:val="4FCE5F50"/>
    <w:rsid w:val="4FCF1B50"/>
    <w:rsid w:val="4FDC6DA6"/>
    <w:rsid w:val="4FDF015D"/>
    <w:rsid w:val="4FE237A9"/>
    <w:rsid w:val="4FE63299"/>
    <w:rsid w:val="4FE90FDC"/>
    <w:rsid w:val="4FE945BA"/>
    <w:rsid w:val="4FED76F4"/>
    <w:rsid w:val="4FEF697B"/>
    <w:rsid w:val="4FF21C3E"/>
    <w:rsid w:val="4FFE4A87"/>
    <w:rsid w:val="50100316"/>
    <w:rsid w:val="50102C97"/>
    <w:rsid w:val="50106D9A"/>
    <w:rsid w:val="50120532"/>
    <w:rsid w:val="501442ED"/>
    <w:rsid w:val="50175B5A"/>
    <w:rsid w:val="5019541D"/>
    <w:rsid w:val="501A1195"/>
    <w:rsid w:val="5023004A"/>
    <w:rsid w:val="50245B70"/>
    <w:rsid w:val="502B2B6C"/>
    <w:rsid w:val="502B5150"/>
    <w:rsid w:val="502D0EC8"/>
    <w:rsid w:val="502D2C99"/>
    <w:rsid w:val="50302767"/>
    <w:rsid w:val="50375889"/>
    <w:rsid w:val="503F6FB7"/>
    <w:rsid w:val="504464B2"/>
    <w:rsid w:val="50461F8A"/>
    <w:rsid w:val="50493828"/>
    <w:rsid w:val="504B2D47"/>
    <w:rsid w:val="504B4ACC"/>
    <w:rsid w:val="504B57F2"/>
    <w:rsid w:val="505428F9"/>
    <w:rsid w:val="50597E6E"/>
    <w:rsid w:val="50610B72"/>
    <w:rsid w:val="506643DA"/>
    <w:rsid w:val="50746FFA"/>
    <w:rsid w:val="507E1724"/>
    <w:rsid w:val="50884351"/>
    <w:rsid w:val="508C2093"/>
    <w:rsid w:val="509251CF"/>
    <w:rsid w:val="50945154"/>
    <w:rsid w:val="5095081C"/>
    <w:rsid w:val="509B0528"/>
    <w:rsid w:val="509F054C"/>
    <w:rsid w:val="50A56CB1"/>
    <w:rsid w:val="50AD025B"/>
    <w:rsid w:val="50AF18DD"/>
    <w:rsid w:val="50AF7B2F"/>
    <w:rsid w:val="50B415EA"/>
    <w:rsid w:val="50B43398"/>
    <w:rsid w:val="50B45146"/>
    <w:rsid w:val="50B60EBE"/>
    <w:rsid w:val="50B909AE"/>
    <w:rsid w:val="50C11F5D"/>
    <w:rsid w:val="50C7131D"/>
    <w:rsid w:val="50CC6933"/>
    <w:rsid w:val="50CE7876"/>
    <w:rsid w:val="50D61560"/>
    <w:rsid w:val="50D91050"/>
    <w:rsid w:val="50DD197E"/>
    <w:rsid w:val="50DE0415"/>
    <w:rsid w:val="50E53036"/>
    <w:rsid w:val="50E83041"/>
    <w:rsid w:val="50ED2406"/>
    <w:rsid w:val="50F34FF7"/>
    <w:rsid w:val="50F934A0"/>
    <w:rsid w:val="51022355"/>
    <w:rsid w:val="510720B3"/>
    <w:rsid w:val="510A120A"/>
    <w:rsid w:val="5112712D"/>
    <w:rsid w:val="51165E00"/>
    <w:rsid w:val="511B4D29"/>
    <w:rsid w:val="511C3B0A"/>
    <w:rsid w:val="511D4511"/>
    <w:rsid w:val="511E4CB5"/>
    <w:rsid w:val="51200A2D"/>
    <w:rsid w:val="512C73D2"/>
    <w:rsid w:val="512F6EC2"/>
    <w:rsid w:val="513004B1"/>
    <w:rsid w:val="51330760"/>
    <w:rsid w:val="5133250E"/>
    <w:rsid w:val="51385D77"/>
    <w:rsid w:val="513F7105"/>
    <w:rsid w:val="51416F08"/>
    <w:rsid w:val="51426BF5"/>
    <w:rsid w:val="51477D68"/>
    <w:rsid w:val="51493AE0"/>
    <w:rsid w:val="514B3CFC"/>
    <w:rsid w:val="514E7348"/>
    <w:rsid w:val="51536EE0"/>
    <w:rsid w:val="51542485"/>
    <w:rsid w:val="51546854"/>
    <w:rsid w:val="51551687"/>
    <w:rsid w:val="515801C7"/>
    <w:rsid w:val="51586419"/>
    <w:rsid w:val="515B3813"/>
    <w:rsid w:val="51612330"/>
    <w:rsid w:val="516632F1"/>
    <w:rsid w:val="517174DB"/>
    <w:rsid w:val="517B3CD2"/>
    <w:rsid w:val="51803134"/>
    <w:rsid w:val="51842D6A"/>
    <w:rsid w:val="5186233E"/>
    <w:rsid w:val="518B234A"/>
    <w:rsid w:val="518B70A2"/>
    <w:rsid w:val="51905BB3"/>
    <w:rsid w:val="5196525A"/>
    <w:rsid w:val="519D207E"/>
    <w:rsid w:val="519D3E2C"/>
    <w:rsid w:val="51A258E6"/>
    <w:rsid w:val="51A27694"/>
    <w:rsid w:val="51A927D1"/>
    <w:rsid w:val="51AE7DE7"/>
    <w:rsid w:val="51B34E7A"/>
    <w:rsid w:val="51BD2325"/>
    <w:rsid w:val="51C27D36"/>
    <w:rsid w:val="51CB0999"/>
    <w:rsid w:val="51D00ACA"/>
    <w:rsid w:val="51D30376"/>
    <w:rsid w:val="51D610EC"/>
    <w:rsid w:val="51DB6702"/>
    <w:rsid w:val="51DC0DF8"/>
    <w:rsid w:val="51E1579C"/>
    <w:rsid w:val="51E732F9"/>
    <w:rsid w:val="51EB103B"/>
    <w:rsid w:val="51F223CA"/>
    <w:rsid w:val="51F779E0"/>
    <w:rsid w:val="51FF6894"/>
    <w:rsid w:val="52020133"/>
    <w:rsid w:val="520D41CD"/>
    <w:rsid w:val="520D64F1"/>
    <w:rsid w:val="521265C8"/>
    <w:rsid w:val="52170A35"/>
    <w:rsid w:val="521A0616"/>
    <w:rsid w:val="521A36CE"/>
    <w:rsid w:val="521A547C"/>
    <w:rsid w:val="521D4F6D"/>
    <w:rsid w:val="521D6D1B"/>
    <w:rsid w:val="5221343F"/>
    <w:rsid w:val="5228116F"/>
    <w:rsid w:val="522B763A"/>
    <w:rsid w:val="523522B6"/>
    <w:rsid w:val="52354064"/>
    <w:rsid w:val="52383B54"/>
    <w:rsid w:val="52410C5B"/>
    <w:rsid w:val="52466271"/>
    <w:rsid w:val="5247502A"/>
    <w:rsid w:val="52481FEA"/>
    <w:rsid w:val="525070F0"/>
    <w:rsid w:val="52535C89"/>
    <w:rsid w:val="525F5585"/>
    <w:rsid w:val="52606646"/>
    <w:rsid w:val="52642B9B"/>
    <w:rsid w:val="526553D4"/>
    <w:rsid w:val="52662269"/>
    <w:rsid w:val="52707792"/>
    <w:rsid w:val="52721B97"/>
    <w:rsid w:val="52742DDF"/>
    <w:rsid w:val="52754DA9"/>
    <w:rsid w:val="5277467D"/>
    <w:rsid w:val="527A362B"/>
    <w:rsid w:val="527F36C2"/>
    <w:rsid w:val="528943B0"/>
    <w:rsid w:val="528B5B58"/>
    <w:rsid w:val="528E4E35"/>
    <w:rsid w:val="52954B38"/>
    <w:rsid w:val="52990A97"/>
    <w:rsid w:val="52A048D2"/>
    <w:rsid w:val="52A35472"/>
    <w:rsid w:val="52A5743C"/>
    <w:rsid w:val="52AA6800"/>
    <w:rsid w:val="52AD52B2"/>
    <w:rsid w:val="52C13B4A"/>
    <w:rsid w:val="52C5188C"/>
    <w:rsid w:val="52CC1D29"/>
    <w:rsid w:val="52D25D57"/>
    <w:rsid w:val="52D33E80"/>
    <w:rsid w:val="52D64DC6"/>
    <w:rsid w:val="52D7336D"/>
    <w:rsid w:val="52D96CF8"/>
    <w:rsid w:val="52E55A8A"/>
    <w:rsid w:val="52F61A46"/>
    <w:rsid w:val="53050450"/>
    <w:rsid w:val="53065A01"/>
    <w:rsid w:val="530B03CD"/>
    <w:rsid w:val="530C3017"/>
    <w:rsid w:val="531427A3"/>
    <w:rsid w:val="531719BC"/>
    <w:rsid w:val="53193986"/>
    <w:rsid w:val="53210083"/>
    <w:rsid w:val="53234805"/>
    <w:rsid w:val="53285977"/>
    <w:rsid w:val="532E7431"/>
    <w:rsid w:val="532F6D06"/>
    <w:rsid w:val="53310CD0"/>
    <w:rsid w:val="533407C0"/>
    <w:rsid w:val="53346A12"/>
    <w:rsid w:val="533E33EC"/>
    <w:rsid w:val="533F44DF"/>
    <w:rsid w:val="533F6EA0"/>
    <w:rsid w:val="53400F13"/>
    <w:rsid w:val="53446C55"/>
    <w:rsid w:val="534D3630"/>
    <w:rsid w:val="534F73A8"/>
    <w:rsid w:val="53513120"/>
    <w:rsid w:val="53563C96"/>
    <w:rsid w:val="53566988"/>
    <w:rsid w:val="535D6353"/>
    <w:rsid w:val="53644E8F"/>
    <w:rsid w:val="53672943"/>
    <w:rsid w:val="536C61AC"/>
    <w:rsid w:val="53740BBC"/>
    <w:rsid w:val="53764934"/>
    <w:rsid w:val="537E5666"/>
    <w:rsid w:val="53826598"/>
    <w:rsid w:val="53890B0C"/>
    <w:rsid w:val="538C5F06"/>
    <w:rsid w:val="538E6122"/>
    <w:rsid w:val="538F119C"/>
    <w:rsid w:val="538F59F6"/>
    <w:rsid w:val="5392337A"/>
    <w:rsid w:val="53942B34"/>
    <w:rsid w:val="53966D85"/>
    <w:rsid w:val="53A2229D"/>
    <w:rsid w:val="53A3337E"/>
    <w:rsid w:val="53A45945"/>
    <w:rsid w:val="53A56260"/>
    <w:rsid w:val="53A92F5C"/>
    <w:rsid w:val="53AB0A82"/>
    <w:rsid w:val="53B33E09"/>
    <w:rsid w:val="53BA6F17"/>
    <w:rsid w:val="53BB4A3D"/>
    <w:rsid w:val="53BC0116"/>
    <w:rsid w:val="53C25DCC"/>
    <w:rsid w:val="53C733E2"/>
    <w:rsid w:val="53CB5C3E"/>
    <w:rsid w:val="53D224B3"/>
    <w:rsid w:val="53D63625"/>
    <w:rsid w:val="53D77AC9"/>
    <w:rsid w:val="53DD49B3"/>
    <w:rsid w:val="53DE61DE"/>
    <w:rsid w:val="53E60D22"/>
    <w:rsid w:val="53E74ED5"/>
    <w:rsid w:val="53F04C61"/>
    <w:rsid w:val="53F51CFD"/>
    <w:rsid w:val="540262EE"/>
    <w:rsid w:val="54040192"/>
    <w:rsid w:val="54043FB8"/>
    <w:rsid w:val="540463E4"/>
    <w:rsid w:val="54047EF9"/>
    <w:rsid w:val="54071A30"/>
    <w:rsid w:val="54077C82"/>
    <w:rsid w:val="54181E8F"/>
    <w:rsid w:val="54256F44"/>
    <w:rsid w:val="5426635A"/>
    <w:rsid w:val="543C16DA"/>
    <w:rsid w:val="543D5452"/>
    <w:rsid w:val="543E18F6"/>
    <w:rsid w:val="543F11CA"/>
    <w:rsid w:val="54422A68"/>
    <w:rsid w:val="544B5DC1"/>
    <w:rsid w:val="545253A1"/>
    <w:rsid w:val="54596730"/>
    <w:rsid w:val="545A6004"/>
    <w:rsid w:val="545C624B"/>
    <w:rsid w:val="545C7FCE"/>
    <w:rsid w:val="545E3D46"/>
    <w:rsid w:val="54617393"/>
    <w:rsid w:val="54694499"/>
    <w:rsid w:val="546B0211"/>
    <w:rsid w:val="5472334E"/>
    <w:rsid w:val="54770964"/>
    <w:rsid w:val="54776BB6"/>
    <w:rsid w:val="547A0454"/>
    <w:rsid w:val="547E6196"/>
    <w:rsid w:val="547F1643"/>
    <w:rsid w:val="54866DF9"/>
    <w:rsid w:val="548F2152"/>
    <w:rsid w:val="549239F0"/>
    <w:rsid w:val="549332C4"/>
    <w:rsid w:val="549F7EBB"/>
    <w:rsid w:val="54A02118"/>
    <w:rsid w:val="54AF5068"/>
    <w:rsid w:val="54B24092"/>
    <w:rsid w:val="54B46054"/>
    <w:rsid w:val="54B716A8"/>
    <w:rsid w:val="54BC281B"/>
    <w:rsid w:val="54C16083"/>
    <w:rsid w:val="54C3004D"/>
    <w:rsid w:val="54C600BA"/>
    <w:rsid w:val="54C811C0"/>
    <w:rsid w:val="54C94F38"/>
    <w:rsid w:val="54CC5154"/>
    <w:rsid w:val="54CF69F2"/>
    <w:rsid w:val="54D77655"/>
    <w:rsid w:val="54DD329B"/>
    <w:rsid w:val="54F153B4"/>
    <w:rsid w:val="54F223EE"/>
    <w:rsid w:val="54F2623D"/>
    <w:rsid w:val="55006BAB"/>
    <w:rsid w:val="550541C2"/>
    <w:rsid w:val="55061CA9"/>
    <w:rsid w:val="55061CE8"/>
    <w:rsid w:val="550A7A2A"/>
    <w:rsid w:val="550D4D66"/>
    <w:rsid w:val="550F5041"/>
    <w:rsid w:val="551268DF"/>
    <w:rsid w:val="551B39E5"/>
    <w:rsid w:val="551D779F"/>
    <w:rsid w:val="551E5284"/>
    <w:rsid w:val="55254864"/>
    <w:rsid w:val="5527238A"/>
    <w:rsid w:val="552F7491"/>
    <w:rsid w:val="55306D65"/>
    <w:rsid w:val="55326F81"/>
    <w:rsid w:val="553D3F2D"/>
    <w:rsid w:val="553E0490"/>
    <w:rsid w:val="554F368F"/>
    <w:rsid w:val="55550088"/>
    <w:rsid w:val="55557852"/>
    <w:rsid w:val="555667CB"/>
    <w:rsid w:val="5559450E"/>
    <w:rsid w:val="55607E28"/>
    <w:rsid w:val="556233C2"/>
    <w:rsid w:val="5563538C"/>
    <w:rsid w:val="55672B46"/>
    <w:rsid w:val="55705593"/>
    <w:rsid w:val="55713605"/>
    <w:rsid w:val="55734575"/>
    <w:rsid w:val="55782BE6"/>
    <w:rsid w:val="5579591C"/>
    <w:rsid w:val="557B0928"/>
    <w:rsid w:val="557D4AFD"/>
    <w:rsid w:val="55841BAC"/>
    <w:rsid w:val="558C48E3"/>
    <w:rsid w:val="558F6181"/>
    <w:rsid w:val="55A25EB5"/>
    <w:rsid w:val="55A32FF3"/>
    <w:rsid w:val="55AE4859"/>
    <w:rsid w:val="55B0795F"/>
    <w:rsid w:val="55C0458D"/>
    <w:rsid w:val="55C20305"/>
    <w:rsid w:val="55CD4B1F"/>
    <w:rsid w:val="55D6790C"/>
    <w:rsid w:val="55DB4154"/>
    <w:rsid w:val="55DD6EED"/>
    <w:rsid w:val="55E1504F"/>
    <w:rsid w:val="55E738C7"/>
    <w:rsid w:val="55E77D6B"/>
    <w:rsid w:val="55E87337"/>
    <w:rsid w:val="55F34962"/>
    <w:rsid w:val="55F45FE4"/>
    <w:rsid w:val="55F466D7"/>
    <w:rsid w:val="55F85AD5"/>
    <w:rsid w:val="5604091D"/>
    <w:rsid w:val="56075848"/>
    <w:rsid w:val="561072C2"/>
    <w:rsid w:val="561623FF"/>
    <w:rsid w:val="5627460C"/>
    <w:rsid w:val="562960BC"/>
    <w:rsid w:val="562C3A54"/>
    <w:rsid w:val="5633546E"/>
    <w:rsid w:val="563B3C13"/>
    <w:rsid w:val="563E36FF"/>
    <w:rsid w:val="563F3703"/>
    <w:rsid w:val="564151D8"/>
    <w:rsid w:val="564175F1"/>
    <w:rsid w:val="56417C4B"/>
    <w:rsid w:val="56440D1A"/>
    <w:rsid w:val="564451BE"/>
    <w:rsid w:val="56496330"/>
    <w:rsid w:val="564B20A8"/>
    <w:rsid w:val="564B6ED4"/>
    <w:rsid w:val="56502273"/>
    <w:rsid w:val="56503B63"/>
    <w:rsid w:val="56570A4D"/>
    <w:rsid w:val="566040EB"/>
    <w:rsid w:val="566118CC"/>
    <w:rsid w:val="5664316A"/>
    <w:rsid w:val="56647D97"/>
    <w:rsid w:val="56665134"/>
    <w:rsid w:val="56694C24"/>
    <w:rsid w:val="566B62A7"/>
    <w:rsid w:val="566C201F"/>
    <w:rsid w:val="566D64C3"/>
    <w:rsid w:val="566E3FE9"/>
    <w:rsid w:val="566F62EF"/>
    <w:rsid w:val="56792E82"/>
    <w:rsid w:val="56813D1C"/>
    <w:rsid w:val="56861332"/>
    <w:rsid w:val="56890E23"/>
    <w:rsid w:val="5689534B"/>
    <w:rsid w:val="56900AED"/>
    <w:rsid w:val="569577C7"/>
    <w:rsid w:val="569752EE"/>
    <w:rsid w:val="569A4DDE"/>
    <w:rsid w:val="56B55774"/>
    <w:rsid w:val="56BC6CDA"/>
    <w:rsid w:val="56C360E3"/>
    <w:rsid w:val="56D227CA"/>
    <w:rsid w:val="56D46542"/>
    <w:rsid w:val="56D7393C"/>
    <w:rsid w:val="56E524FD"/>
    <w:rsid w:val="56ED13B1"/>
    <w:rsid w:val="56F20776"/>
    <w:rsid w:val="56F444EE"/>
    <w:rsid w:val="56F47850"/>
    <w:rsid w:val="56F72230"/>
    <w:rsid w:val="56F7330C"/>
    <w:rsid w:val="56FD0000"/>
    <w:rsid w:val="56FE35BF"/>
    <w:rsid w:val="57081D47"/>
    <w:rsid w:val="57102608"/>
    <w:rsid w:val="57160908"/>
    <w:rsid w:val="571A005F"/>
    <w:rsid w:val="571C3A45"/>
    <w:rsid w:val="572172AD"/>
    <w:rsid w:val="572648C3"/>
    <w:rsid w:val="57272B15"/>
    <w:rsid w:val="57282ED4"/>
    <w:rsid w:val="572F3778"/>
    <w:rsid w:val="57405985"/>
    <w:rsid w:val="57432CFF"/>
    <w:rsid w:val="574472CC"/>
    <w:rsid w:val="575256B8"/>
    <w:rsid w:val="57546EDB"/>
    <w:rsid w:val="57566F57"/>
    <w:rsid w:val="575B631B"/>
    <w:rsid w:val="575D6537"/>
    <w:rsid w:val="575E5E0B"/>
    <w:rsid w:val="57636ED5"/>
    <w:rsid w:val="576B22D6"/>
    <w:rsid w:val="57713D91"/>
    <w:rsid w:val="57742FA3"/>
    <w:rsid w:val="5774562F"/>
    <w:rsid w:val="577E46FF"/>
    <w:rsid w:val="578566B5"/>
    <w:rsid w:val="5785783C"/>
    <w:rsid w:val="578D1B23"/>
    <w:rsid w:val="57A024A6"/>
    <w:rsid w:val="57A10134"/>
    <w:rsid w:val="57A27CE8"/>
    <w:rsid w:val="57A44166"/>
    <w:rsid w:val="57B27F05"/>
    <w:rsid w:val="57B328E2"/>
    <w:rsid w:val="57B91294"/>
    <w:rsid w:val="57B95737"/>
    <w:rsid w:val="57C33EC0"/>
    <w:rsid w:val="57C57C38"/>
    <w:rsid w:val="57C77E54"/>
    <w:rsid w:val="57CA34A1"/>
    <w:rsid w:val="57D12A81"/>
    <w:rsid w:val="57E00F16"/>
    <w:rsid w:val="57E24C8E"/>
    <w:rsid w:val="57EE718F"/>
    <w:rsid w:val="57F02763"/>
    <w:rsid w:val="57F10A2D"/>
    <w:rsid w:val="58136BF6"/>
    <w:rsid w:val="58160494"/>
    <w:rsid w:val="581A7F84"/>
    <w:rsid w:val="581C7EDC"/>
    <w:rsid w:val="581D1822"/>
    <w:rsid w:val="581D7A74"/>
    <w:rsid w:val="581F559B"/>
    <w:rsid w:val="582073EB"/>
    <w:rsid w:val="58257B78"/>
    <w:rsid w:val="5829466B"/>
    <w:rsid w:val="582B03E3"/>
    <w:rsid w:val="58304C11"/>
    <w:rsid w:val="5834531F"/>
    <w:rsid w:val="58360B36"/>
    <w:rsid w:val="583B614D"/>
    <w:rsid w:val="5842572D"/>
    <w:rsid w:val="584274DB"/>
    <w:rsid w:val="58456997"/>
    <w:rsid w:val="5846521D"/>
    <w:rsid w:val="58490869"/>
    <w:rsid w:val="584A41F8"/>
    <w:rsid w:val="584C5771"/>
    <w:rsid w:val="584E40D2"/>
    <w:rsid w:val="584E5E80"/>
    <w:rsid w:val="5855720E"/>
    <w:rsid w:val="585A65D3"/>
    <w:rsid w:val="58607961"/>
    <w:rsid w:val="5862192B"/>
    <w:rsid w:val="586236D9"/>
    <w:rsid w:val="58647451"/>
    <w:rsid w:val="586B07E0"/>
    <w:rsid w:val="586C6306"/>
    <w:rsid w:val="586E2300"/>
    <w:rsid w:val="5870229A"/>
    <w:rsid w:val="5875165E"/>
    <w:rsid w:val="587A4EC7"/>
    <w:rsid w:val="587E2954"/>
    <w:rsid w:val="58833922"/>
    <w:rsid w:val="5883579D"/>
    <w:rsid w:val="58883BC4"/>
    <w:rsid w:val="588C1901"/>
    <w:rsid w:val="58937D37"/>
    <w:rsid w:val="589715D5"/>
    <w:rsid w:val="589C308F"/>
    <w:rsid w:val="58A41F44"/>
    <w:rsid w:val="58AC2AE0"/>
    <w:rsid w:val="58AD0DF8"/>
    <w:rsid w:val="58AE691E"/>
    <w:rsid w:val="58B24661"/>
    <w:rsid w:val="58B50975"/>
    <w:rsid w:val="58B73A25"/>
    <w:rsid w:val="58BC17DB"/>
    <w:rsid w:val="58BF0B2C"/>
    <w:rsid w:val="58CD149A"/>
    <w:rsid w:val="58D07FAA"/>
    <w:rsid w:val="58D26AB1"/>
    <w:rsid w:val="58D35C1E"/>
    <w:rsid w:val="58D476E0"/>
    <w:rsid w:val="58DA3BB7"/>
    <w:rsid w:val="58DA5965"/>
    <w:rsid w:val="58DC3DDA"/>
    <w:rsid w:val="58DE5456"/>
    <w:rsid w:val="58F85DEC"/>
    <w:rsid w:val="590429E2"/>
    <w:rsid w:val="59097FF9"/>
    <w:rsid w:val="592B4413"/>
    <w:rsid w:val="593212FE"/>
    <w:rsid w:val="5932754F"/>
    <w:rsid w:val="593908DE"/>
    <w:rsid w:val="593F3679"/>
    <w:rsid w:val="594243CD"/>
    <w:rsid w:val="59457283"/>
    <w:rsid w:val="59492A03"/>
    <w:rsid w:val="594B23BF"/>
    <w:rsid w:val="594D6137"/>
    <w:rsid w:val="594E7882"/>
    <w:rsid w:val="59584F92"/>
    <w:rsid w:val="595A2602"/>
    <w:rsid w:val="59671525"/>
    <w:rsid w:val="59690710"/>
    <w:rsid w:val="596A669D"/>
    <w:rsid w:val="596D4A2C"/>
    <w:rsid w:val="59727F77"/>
    <w:rsid w:val="59747B68"/>
    <w:rsid w:val="597731B4"/>
    <w:rsid w:val="597B0EF6"/>
    <w:rsid w:val="597E09E7"/>
    <w:rsid w:val="597E215D"/>
    <w:rsid w:val="59851D75"/>
    <w:rsid w:val="59861649"/>
    <w:rsid w:val="598F6750"/>
    <w:rsid w:val="59970E63"/>
    <w:rsid w:val="59A26483"/>
    <w:rsid w:val="59AF58EE"/>
    <w:rsid w:val="59B2243E"/>
    <w:rsid w:val="59B26362"/>
    <w:rsid w:val="59B46F19"/>
    <w:rsid w:val="59B52CDE"/>
    <w:rsid w:val="59BE0DE3"/>
    <w:rsid w:val="59C02DAD"/>
    <w:rsid w:val="59CF1242"/>
    <w:rsid w:val="59D17F1B"/>
    <w:rsid w:val="59DD395F"/>
    <w:rsid w:val="59DE1485"/>
    <w:rsid w:val="59E52814"/>
    <w:rsid w:val="59F36CDF"/>
    <w:rsid w:val="59F5604A"/>
    <w:rsid w:val="59F5704C"/>
    <w:rsid w:val="59F82547"/>
    <w:rsid w:val="59FE7432"/>
    <w:rsid w:val="5A0116A6"/>
    <w:rsid w:val="5A025FF8"/>
    <w:rsid w:val="5A083F27"/>
    <w:rsid w:val="5A0C699F"/>
    <w:rsid w:val="5A0C7EBC"/>
    <w:rsid w:val="5A105AE3"/>
    <w:rsid w:val="5A113609"/>
    <w:rsid w:val="5A143253"/>
    <w:rsid w:val="5A174EA1"/>
    <w:rsid w:val="5A191F5F"/>
    <w:rsid w:val="5A1A1AF5"/>
    <w:rsid w:val="5A272E2C"/>
    <w:rsid w:val="5A292701"/>
    <w:rsid w:val="5A2A3236"/>
    <w:rsid w:val="5A2A6479"/>
    <w:rsid w:val="5A2C3F9F"/>
    <w:rsid w:val="5A2F3A8F"/>
    <w:rsid w:val="5A3612C1"/>
    <w:rsid w:val="5A36306F"/>
    <w:rsid w:val="5A4532B2"/>
    <w:rsid w:val="5A4C2893"/>
    <w:rsid w:val="5A4D79BC"/>
    <w:rsid w:val="5A53777D"/>
    <w:rsid w:val="5A544D62"/>
    <w:rsid w:val="5A5534F6"/>
    <w:rsid w:val="5A584D94"/>
    <w:rsid w:val="5A5A6D5E"/>
    <w:rsid w:val="5A5F6122"/>
    <w:rsid w:val="5A6032E5"/>
    <w:rsid w:val="5A663955"/>
    <w:rsid w:val="5A673229"/>
    <w:rsid w:val="5A690D4F"/>
    <w:rsid w:val="5A6B0F6B"/>
    <w:rsid w:val="5A6C083F"/>
    <w:rsid w:val="5A722EBF"/>
    <w:rsid w:val="5A731BCE"/>
    <w:rsid w:val="5A736072"/>
    <w:rsid w:val="5A7616BE"/>
    <w:rsid w:val="5A792AB2"/>
    <w:rsid w:val="5A8E07B6"/>
    <w:rsid w:val="5A932270"/>
    <w:rsid w:val="5A9658BC"/>
    <w:rsid w:val="5AA2037E"/>
    <w:rsid w:val="5AA224B3"/>
    <w:rsid w:val="5AA45E40"/>
    <w:rsid w:val="5AA61FA3"/>
    <w:rsid w:val="5AA65F0D"/>
    <w:rsid w:val="5AA9356E"/>
    <w:rsid w:val="5AAB1367"/>
    <w:rsid w:val="5AAB6002"/>
    <w:rsid w:val="5AB04BD0"/>
    <w:rsid w:val="5AB20948"/>
    <w:rsid w:val="5ABD72ED"/>
    <w:rsid w:val="5AC42429"/>
    <w:rsid w:val="5AC62645"/>
    <w:rsid w:val="5AC93EE4"/>
    <w:rsid w:val="5AD22D98"/>
    <w:rsid w:val="5AD308BE"/>
    <w:rsid w:val="5AD44AB6"/>
    <w:rsid w:val="5AD85ED5"/>
    <w:rsid w:val="5ADA39FB"/>
    <w:rsid w:val="5AE40D1D"/>
    <w:rsid w:val="5AE5729C"/>
    <w:rsid w:val="5AE64A95"/>
    <w:rsid w:val="5AE8437A"/>
    <w:rsid w:val="5AEE394A"/>
    <w:rsid w:val="5AEF428F"/>
    <w:rsid w:val="5AFC6067"/>
    <w:rsid w:val="5B062A42"/>
    <w:rsid w:val="5B0867BA"/>
    <w:rsid w:val="5B117268"/>
    <w:rsid w:val="5B13515F"/>
    <w:rsid w:val="5B174C4F"/>
    <w:rsid w:val="5B1F14E9"/>
    <w:rsid w:val="5B215ACE"/>
    <w:rsid w:val="5B24111A"/>
    <w:rsid w:val="5B2A6DFE"/>
    <w:rsid w:val="5B2F5BD6"/>
    <w:rsid w:val="5B313B2D"/>
    <w:rsid w:val="5B331092"/>
    <w:rsid w:val="5B3752F1"/>
    <w:rsid w:val="5B395EEC"/>
    <w:rsid w:val="5B3A26EB"/>
    <w:rsid w:val="5B3E042E"/>
    <w:rsid w:val="5B430FD1"/>
    <w:rsid w:val="5B4377F2"/>
    <w:rsid w:val="5B4A5024"/>
    <w:rsid w:val="5B4B66A7"/>
    <w:rsid w:val="5B4C1282"/>
    <w:rsid w:val="5B4D0671"/>
    <w:rsid w:val="5B4D20E9"/>
    <w:rsid w:val="5B5E287E"/>
    <w:rsid w:val="5B5F2152"/>
    <w:rsid w:val="5B61236E"/>
    <w:rsid w:val="5B661732"/>
    <w:rsid w:val="5B6A7E5A"/>
    <w:rsid w:val="5B7A551A"/>
    <w:rsid w:val="5B800A46"/>
    <w:rsid w:val="5B863B83"/>
    <w:rsid w:val="5B8A3673"/>
    <w:rsid w:val="5B8A5A75"/>
    <w:rsid w:val="5B8A7E0B"/>
    <w:rsid w:val="5B8F47E5"/>
    <w:rsid w:val="5B90055D"/>
    <w:rsid w:val="5B953DC6"/>
    <w:rsid w:val="5B955B74"/>
    <w:rsid w:val="5B97061F"/>
    <w:rsid w:val="5BA34735"/>
    <w:rsid w:val="5BA65FD3"/>
    <w:rsid w:val="5BA87F9D"/>
    <w:rsid w:val="5BA91948"/>
    <w:rsid w:val="5BAF30D9"/>
    <w:rsid w:val="5BB71F8E"/>
    <w:rsid w:val="5BBE0F32"/>
    <w:rsid w:val="5BBE156E"/>
    <w:rsid w:val="5BC621D1"/>
    <w:rsid w:val="5BCD17B1"/>
    <w:rsid w:val="5BCE7A03"/>
    <w:rsid w:val="5BD112A2"/>
    <w:rsid w:val="5BD13050"/>
    <w:rsid w:val="5BD42B40"/>
    <w:rsid w:val="5BD668B8"/>
    <w:rsid w:val="5BD87357"/>
    <w:rsid w:val="5BE508A9"/>
    <w:rsid w:val="5BEF1728"/>
    <w:rsid w:val="5BF136F2"/>
    <w:rsid w:val="5BF154A0"/>
    <w:rsid w:val="5BF94355"/>
    <w:rsid w:val="5BFB00CD"/>
    <w:rsid w:val="5C043425"/>
    <w:rsid w:val="5C074CC3"/>
    <w:rsid w:val="5C0E2FD3"/>
    <w:rsid w:val="5C0F1AD7"/>
    <w:rsid w:val="5C110814"/>
    <w:rsid w:val="5C125416"/>
    <w:rsid w:val="5C1C1489"/>
    <w:rsid w:val="5C1E200D"/>
    <w:rsid w:val="5C207D29"/>
    <w:rsid w:val="5C274245"/>
    <w:rsid w:val="5C2A2760"/>
    <w:rsid w:val="5C2A6C04"/>
    <w:rsid w:val="5C2F1CE3"/>
    <w:rsid w:val="5C3655A9"/>
    <w:rsid w:val="5C3830CF"/>
    <w:rsid w:val="5C392FF7"/>
    <w:rsid w:val="5C3E620B"/>
    <w:rsid w:val="5C401F83"/>
    <w:rsid w:val="5C403D31"/>
    <w:rsid w:val="5C446120"/>
    <w:rsid w:val="5C487FF6"/>
    <w:rsid w:val="5C49708A"/>
    <w:rsid w:val="5C4B1054"/>
    <w:rsid w:val="5C4C26D6"/>
    <w:rsid w:val="5C515F3F"/>
    <w:rsid w:val="5C5F68AD"/>
    <w:rsid w:val="5C702869"/>
    <w:rsid w:val="5C797243"/>
    <w:rsid w:val="5C7B08EC"/>
    <w:rsid w:val="5C7D31D8"/>
    <w:rsid w:val="5C8005D2"/>
    <w:rsid w:val="5C806824"/>
    <w:rsid w:val="5C814A76"/>
    <w:rsid w:val="5C841E70"/>
    <w:rsid w:val="5C846314"/>
    <w:rsid w:val="5C86208C"/>
    <w:rsid w:val="5C8C33F3"/>
    <w:rsid w:val="5C910A31"/>
    <w:rsid w:val="5C912AD3"/>
    <w:rsid w:val="5C930305"/>
    <w:rsid w:val="5C9B365E"/>
    <w:rsid w:val="5C9D2F32"/>
    <w:rsid w:val="5C9F4EFC"/>
    <w:rsid w:val="5CAD6132"/>
    <w:rsid w:val="5CB85FBE"/>
    <w:rsid w:val="5CBA37D5"/>
    <w:rsid w:val="5CBC0CD0"/>
    <w:rsid w:val="5CBC5AAE"/>
    <w:rsid w:val="5CC74453"/>
    <w:rsid w:val="5CC901CB"/>
    <w:rsid w:val="5CCA2272"/>
    <w:rsid w:val="5CD728E8"/>
    <w:rsid w:val="5CEE7C31"/>
    <w:rsid w:val="5CF0225B"/>
    <w:rsid w:val="5CF36FF6"/>
    <w:rsid w:val="5CF772D0"/>
    <w:rsid w:val="5D02548B"/>
    <w:rsid w:val="5D0D6309"/>
    <w:rsid w:val="5D0E5BDE"/>
    <w:rsid w:val="5D131446"/>
    <w:rsid w:val="5D1458EA"/>
    <w:rsid w:val="5D261179"/>
    <w:rsid w:val="5D290C69"/>
    <w:rsid w:val="5D2B49C1"/>
    <w:rsid w:val="5D2C2DE7"/>
    <w:rsid w:val="5D2C3FDA"/>
    <w:rsid w:val="5D301FF8"/>
    <w:rsid w:val="5D3078A7"/>
    <w:rsid w:val="5D347D3A"/>
    <w:rsid w:val="5D3A6B95"/>
    <w:rsid w:val="5D3F63CF"/>
    <w:rsid w:val="5D3F6DF8"/>
    <w:rsid w:val="5D490595"/>
    <w:rsid w:val="5D4B5084"/>
    <w:rsid w:val="5D4D517E"/>
    <w:rsid w:val="5D4E0349"/>
    <w:rsid w:val="5D4E247E"/>
    <w:rsid w:val="5D537A94"/>
    <w:rsid w:val="5D5E0913"/>
    <w:rsid w:val="5D6323CD"/>
    <w:rsid w:val="5D663C6C"/>
    <w:rsid w:val="5D6D6DA8"/>
    <w:rsid w:val="5D6F6C11"/>
    <w:rsid w:val="5D704AEA"/>
    <w:rsid w:val="5D720862"/>
    <w:rsid w:val="5D722610"/>
    <w:rsid w:val="5D72765A"/>
    <w:rsid w:val="5D83037A"/>
    <w:rsid w:val="5D845EA0"/>
    <w:rsid w:val="5D8E72CD"/>
    <w:rsid w:val="5D914036"/>
    <w:rsid w:val="5D916C44"/>
    <w:rsid w:val="5D931564"/>
    <w:rsid w:val="5D99435E"/>
    <w:rsid w:val="5DA54794"/>
    <w:rsid w:val="5DAF5613"/>
    <w:rsid w:val="5DBC388C"/>
    <w:rsid w:val="5DC42740"/>
    <w:rsid w:val="5DC47A95"/>
    <w:rsid w:val="5DC82230"/>
    <w:rsid w:val="5DCA09A3"/>
    <w:rsid w:val="5DCA30CB"/>
    <w:rsid w:val="5DD80D6D"/>
    <w:rsid w:val="5DD92690"/>
    <w:rsid w:val="5DD9443E"/>
    <w:rsid w:val="5DE132F2"/>
    <w:rsid w:val="5DEA21A7"/>
    <w:rsid w:val="5DFB43B4"/>
    <w:rsid w:val="5DFC3365"/>
    <w:rsid w:val="5DFD06C9"/>
    <w:rsid w:val="5DFD224D"/>
    <w:rsid w:val="5E005E6E"/>
    <w:rsid w:val="5E012292"/>
    <w:rsid w:val="5E056FE1"/>
    <w:rsid w:val="5E08087F"/>
    <w:rsid w:val="5E13008D"/>
    <w:rsid w:val="5E134804"/>
    <w:rsid w:val="5E1C432A"/>
    <w:rsid w:val="5E1E4546"/>
    <w:rsid w:val="5E2376F0"/>
    <w:rsid w:val="5E24096A"/>
    <w:rsid w:val="5E2A4C99"/>
    <w:rsid w:val="5E2B3C63"/>
    <w:rsid w:val="5E2E29DB"/>
    <w:rsid w:val="5E2E7DDC"/>
    <w:rsid w:val="5E323267"/>
    <w:rsid w:val="5E391380"/>
    <w:rsid w:val="5E435D5B"/>
    <w:rsid w:val="5E437B09"/>
    <w:rsid w:val="5E4F4700"/>
    <w:rsid w:val="5E5341F0"/>
    <w:rsid w:val="5E543AC4"/>
    <w:rsid w:val="5E602469"/>
    <w:rsid w:val="5E624433"/>
    <w:rsid w:val="5E6C3504"/>
    <w:rsid w:val="5E70077B"/>
    <w:rsid w:val="5E710B1A"/>
    <w:rsid w:val="5E744166"/>
    <w:rsid w:val="5E7B138A"/>
    <w:rsid w:val="5E7E05A8"/>
    <w:rsid w:val="5E8343A9"/>
    <w:rsid w:val="5E8D407E"/>
    <w:rsid w:val="5E923538"/>
    <w:rsid w:val="5E9367AF"/>
    <w:rsid w:val="5E940365"/>
    <w:rsid w:val="5E945FB1"/>
    <w:rsid w:val="5E9842F9"/>
    <w:rsid w:val="5E9B16F3"/>
    <w:rsid w:val="5EA44A4C"/>
    <w:rsid w:val="5EA54320"/>
    <w:rsid w:val="5EB32EE1"/>
    <w:rsid w:val="5EB6477F"/>
    <w:rsid w:val="5EB654B8"/>
    <w:rsid w:val="5EB804F7"/>
    <w:rsid w:val="5EC41734"/>
    <w:rsid w:val="5EC647D8"/>
    <w:rsid w:val="5ECA3D86"/>
    <w:rsid w:val="5ECB022A"/>
    <w:rsid w:val="5ECE1AC8"/>
    <w:rsid w:val="5ED1434E"/>
    <w:rsid w:val="5ED46D7C"/>
    <w:rsid w:val="5EE237C6"/>
    <w:rsid w:val="5EE44E48"/>
    <w:rsid w:val="5EE578F7"/>
    <w:rsid w:val="5EEC01A1"/>
    <w:rsid w:val="5EF20CBE"/>
    <w:rsid w:val="5EF62DCD"/>
    <w:rsid w:val="5EF6690E"/>
    <w:rsid w:val="5EF744FF"/>
    <w:rsid w:val="5EF91B98"/>
    <w:rsid w:val="5EFA0BD9"/>
    <w:rsid w:val="5F092B01"/>
    <w:rsid w:val="5F0A5107"/>
    <w:rsid w:val="5F0D0843"/>
    <w:rsid w:val="5F1119B5"/>
    <w:rsid w:val="5F1C0A86"/>
    <w:rsid w:val="5F1F168D"/>
    <w:rsid w:val="5F221E14"/>
    <w:rsid w:val="5F277E42"/>
    <w:rsid w:val="5F285AE4"/>
    <w:rsid w:val="5F2931A3"/>
    <w:rsid w:val="5F2E2567"/>
    <w:rsid w:val="5F322057"/>
    <w:rsid w:val="5F35040D"/>
    <w:rsid w:val="5F3E6C4E"/>
    <w:rsid w:val="5F44577A"/>
    <w:rsid w:val="5F4E6765"/>
    <w:rsid w:val="5F5244A8"/>
    <w:rsid w:val="5F546603"/>
    <w:rsid w:val="5F5521EA"/>
    <w:rsid w:val="5F557AF4"/>
    <w:rsid w:val="5F5F64D7"/>
    <w:rsid w:val="5F622211"/>
    <w:rsid w:val="5F683CCB"/>
    <w:rsid w:val="5F6B37BB"/>
    <w:rsid w:val="5F775CBC"/>
    <w:rsid w:val="5F7C7776"/>
    <w:rsid w:val="5F7F2DC3"/>
    <w:rsid w:val="5F811044"/>
    <w:rsid w:val="5F832A75"/>
    <w:rsid w:val="5F864151"/>
    <w:rsid w:val="5F88611B"/>
    <w:rsid w:val="5F8921D2"/>
    <w:rsid w:val="5F895777"/>
    <w:rsid w:val="5F8B3350"/>
    <w:rsid w:val="5F93061C"/>
    <w:rsid w:val="5F962316"/>
    <w:rsid w:val="5F981EAB"/>
    <w:rsid w:val="5F991742"/>
    <w:rsid w:val="5F9E149B"/>
    <w:rsid w:val="5FA016B7"/>
    <w:rsid w:val="5FA35EAE"/>
    <w:rsid w:val="5FA36AB1"/>
    <w:rsid w:val="5FA75A8E"/>
    <w:rsid w:val="5FA97E40"/>
    <w:rsid w:val="5FAB005C"/>
    <w:rsid w:val="5FAB3BB8"/>
    <w:rsid w:val="5FC15189"/>
    <w:rsid w:val="5FC52ECB"/>
    <w:rsid w:val="5FCC24AC"/>
    <w:rsid w:val="5FCC2839"/>
    <w:rsid w:val="5FD96977"/>
    <w:rsid w:val="5FDC1FC3"/>
    <w:rsid w:val="5FDE21DF"/>
    <w:rsid w:val="5FE86BBA"/>
    <w:rsid w:val="5FED2422"/>
    <w:rsid w:val="5FF20664"/>
    <w:rsid w:val="5FF7504F"/>
    <w:rsid w:val="5FFF7C33"/>
    <w:rsid w:val="60065292"/>
    <w:rsid w:val="600B1271"/>
    <w:rsid w:val="600D4872"/>
    <w:rsid w:val="60116111"/>
    <w:rsid w:val="60121E89"/>
    <w:rsid w:val="601654D5"/>
    <w:rsid w:val="6017124D"/>
    <w:rsid w:val="60183580"/>
    <w:rsid w:val="60261490"/>
    <w:rsid w:val="602816AC"/>
    <w:rsid w:val="602F2A3B"/>
    <w:rsid w:val="602F6597"/>
    <w:rsid w:val="60310B6E"/>
    <w:rsid w:val="60351B3D"/>
    <w:rsid w:val="604557D9"/>
    <w:rsid w:val="604740BC"/>
    <w:rsid w:val="60477D84"/>
    <w:rsid w:val="6051650D"/>
    <w:rsid w:val="60516DAD"/>
    <w:rsid w:val="605361DC"/>
    <w:rsid w:val="60593313"/>
    <w:rsid w:val="605B55DE"/>
    <w:rsid w:val="606502A8"/>
    <w:rsid w:val="606821DE"/>
    <w:rsid w:val="606C77EB"/>
    <w:rsid w:val="606D5311"/>
    <w:rsid w:val="6074044E"/>
    <w:rsid w:val="607E751E"/>
    <w:rsid w:val="607F098D"/>
    <w:rsid w:val="6085265B"/>
    <w:rsid w:val="608A5EC3"/>
    <w:rsid w:val="608D150F"/>
    <w:rsid w:val="60917251"/>
    <w:rsid w:val="60A03FB7"/>
    <w:rsid w:val="60A2320D"/>
    <w:rsid w:val="60A90EDA"/>
    <w:rsid w:val="60B151FE"/>
    <w:rsid w:val="60B16A2C"/>
    <w:rsid w:val="60B8658C"/>
    <w:rsid w:val="60BB42CE"/>
    <w:rsid w:val="60BD3BA3"/>
    <w:rsid w:val="60C03693"/>
    <w:rsid w:val="60C2740B"/>
    <w:rsid w:val="60C34F31"/>
    <w:rsid w:val="60C413D5"/>
    <w:rsid w:val="60C50CA9"/>
    <w:rsid w:val="60C70EC5"/>
    <w:rsid w:val="60CC785D"/>
    <w:rsid w:val="60DA29A7"/>
    <w:rsid w:val="60DB671F"/>
    <w:rsid w:val="60E20F9A"/>
    <w:rsid w:val="60E43825"/>
    <w:rsid w:val="60F577E0"/>
    <w:rsid w:val="60FF240D"/>
    <w:rsid w:val="61016185"/>
    <w:rsid w:val="61077514"/>
    <w:rsid w:val="610B0DB2"/>
    <w:rsid w:val="61120392"/>
    <w:rsid w:val="6118702B"/>
    <w:rsid w:val="611C2FBF"/>
    <w:rsid w:val="61202EDB"/>
    <w:rsid w:val="61227EAA"/>
    <w:rsid w:val="6124191F"/>
    <w:rsid w:val="612511DF"/>
    <w:rsid w:val="61302209"/>
    <w:rsid w:val="613025C6"/>
    <w:rsid w:val="613227E3"/>
    <w:rsid w:val="613320B7"/>
    <w:rsid w:val="613A3445"/>
    <w:rsid w:val="613E2E8D"/>
    <w:rsid w:val="614147D4"/>
    <w:rsid w:val="61475B62"/>
    <w:rsid w:val="614844DF"/>
    <w:rsid w:val="614B11AE"/>
    <w:rsid w:val="6151078F"/>
    <w:rsid w:val="61573869"/>
    <w:rsid w:val="615A7643"/>
    <w:rsid w:val="61632C2C"/>
    <w:rsid w:val="61677FB2"/>
    <w:rsid w:val="6171096B"/>
    <w:rsid w:val="61750921"/>
    <w:rsid w:val="617C1CB0"/>
    <w:rsid w:val="617C3AF6"/>
    <w:rsid w:val="617F52FC"/>
    <w:rsid w:val="61930DA7"/>
    <w:rsid w:val="61970898"/>
    <w:rsid w:val="619D5782"/>
    <w:rsid w:val="61A30FEA"/>
    <w:rsid w:val="61A66D2D"/>
    <w:rsid w:val="61AD3F9D"/>
    <w:rsid w:val="61B054B5"/>
    <w:rsid w:val="61B158E9"/>
    <w:rsid w:val="61BD7BD2"/>
    <w:rsid w:val="61C827FF"/>
    <w:rsid w:val="61D405F2"/>
    <w:rsid w:val="61D70C94"/>
    <w:rsid w:val="61D94A0C"/>
    <w:rsid w:val="61DC6C34"/>
    <w:rsid w:val="61DE64C6"/>
    <w:rsid w:val="61DF7FF8"/>
    <w:rsid w:val="61E457C0"/>
    <w:rsid w:val="61F71336"/>
    <w:rsid w:val="61FA0D2D"/>
    <w:rsid w:val="61FA38FE"/>
    <w:rsid w:val="620121B5"/>
    <w:rsid w:val="62033520"/>
    <w:rsid w:val="620677CB"/>
    <w:rsid w:val="620A1069"/>
    <w:rsid w:val="620F042E"/>
    <w:rsid w:val="6211064A"/>
    <w:rsid w:val="62126170"/>
    <w:rsid w:val="62170D32"/>
    <w:rsid w:val="621C2B4B"/>
    <w:rsid w:val="621C40C6"/>
    <w:rsid w:val="622342CB"/>
    <w:rsid w:val="62261C1B"/>
    <w:rsid w:val="622B7232"/>
    <w:rsid w:val="622C2116"/>
    <w:rsid w:val="622D4D58"/>
    <w:rsid w:val="6231670D"/>
    <w:rsid w:val="62350B41"/>
    <w:rsid w:val="62383234"/>
    <w:rsid w:val="623936FD"/>
    <w:rsid w:val="623E51B7"/>
    <w:rsid w:val="624144DC"/>
    <w:rsid w:val="624520A2"/>
    <w:rsid w:val="6247406C"/>
    <w:rsid w:val="624A76B8"/>
    <w:rsid w:val="624B60B8"/>
    <w:rsid w:val="624D53FA"/>
    <w:rsid w:val="625247BE"/>
    <w:rsid w:val="62540537"/>
    <w:rsid w:val="625C73EB"/>
    <w:rsid w:val="62600B75"/>
    <w:rsid w:val="62614A02"/>
    <w:rsid w:val="626F35C2"/>
    <w:rsid w:val="627110E9"/>
    <w:rsid w:val="62715EB0"/>
    <w:rsid w:val="62740BD9"/>
    <w:rsid w:val="627961EF"/>
    <w:rsid w:val="627E55B4"/>
    <w:rsid w:val="62864468"/>
    <w:rsid w:val="628801E0"/>
    <w:rsid w:val="628E2720"/>
    <w:rsid w:val="62922E0D"/>
    <w:rsid w:val="629372B1"/>
    <w:rsid w:val="62943029"/>
    <w:rsid w:val="629628FD"/>
    <w:rsid w:val="629D1EDE"/>
    <w:rsid w:val="62A0537C"/>
    <w:rsid w:val="62A56FE4"/>
    <w:rsid w:val="62A74B0A"/>
    <w:rsid w:val="62AD7C47"/>
    <w:rsid w:val="62B114E5"/>
    <w:rsid w:val="62C40A68"/>
    <w:rsid w:val="62CE2FA5"/>
    <w:rsid w:val="62D376AD"/>
    <w:rsid w:val="62D64833"/>
    <w:rsid w:val="62DB5454"/>
    <w:rsid w:val="62DF7500"/>
    <w:rsid w:val="62E55633"/>
    <w:rsid w:val="62E56F5D"/>
    <w:rsid w:val="62E719AA"/>
    <w:rsid w:val="62F04EC6"/>
    <w:rsid w:val="62F31AFE"/>
    <w:rsid w:val="62F45876"/>
    <w:rsid w:val="62FD297C"/>
    <w:rsid w:val="630930CF"/>
    <w:rsid w:val="63097573"/>
    <w:rsid w:val="63146431"/>
    <w:rsid w:val="63155F18"/>
    <w:rsid w:val="631657EC"/>
    <w:rsid w:val="63212B0F"/>
    <w:rsid w:val="63247F09"/>
    <w:rsid w:val="63280FF6"/>
    <w:rsid w:val="632E0D88"/>
    <w:rsid w:val="63304B00"/>
    <w:rsid w:val="63350368"/>
    <w:rsid w:val="633640E0"/>
    <w:rsid w:val="63387E58"/>
    <w:rsid w:val="6339083A"/>
    <w:rsid w:val="633B16F7"/>
    <w:rsid w:val="633F4D43"/>
    <w:rsid w:val="63422A85"/>
    <w:rsid w:val="63442359"/>
    <w:rsid w:val="634C56B2"/>
    <w:rsid w:val="634F1D9E"/>
    <w:rsid w:val="635263D8"/>
    <w:rsid w:val="63531A7D"/>
    <w:rsid w:val="63583D36"/>
    <w:rsid w:val="635A1B7D"/>
    <w:rsid w:val="635D166D"/>
    <w:rsid w:val="635D341B"/>
    <w:rsid w:val="6361115D"/>
    <w:rsid w:val="63663566"/>
    <w:rsid w:val="63666773"/>
    <w:rsid w:val="63682DCB"/>
    <w:rsid w:val="63685ED2"/>
    <w:rsid w:val="636B1FDC"/>
    <w:rsid w:val="636B3D8A"/>
    <w:rsid w:val="63730E90"/>
    <w:rsid w:val="63750765"/>
    <w:rsid w:val="637F327F"/>
    <w:rsid w:val="637F5EFE"/>
    <w:rsid w:val="63860BC4"/>
    <w:rsid w:val="638C5AAE"/>
    <w:rsid w:val="638F2616"/>
    <w:rsid w:val="63987CAB"/>
    <w:rsid w:val="63A23524"/>
    <w:rsid w:val="63A92B04"/>
    <w:rsid w:val="63B15692"/>
    <w:rsid w:val="63B26818"/>
    <w:rsid w:val="63B514A9"/>
    <w:rsid w:val="63B53257"/>
    <w:rsid w:val="63B76FCF"/>
    <w:rsid w:val="63BA086D"/>
    <w:rsid w:val="63BB6421"/>
    <w:rsid w:val="63BD1AE0"/>
    <w:rsid w:val="63C65464"/>
    <w:rsid w:val="63C82F8A"/>
    <w:rsid w:val="63D17247"/>
    <w:rsid w:val="63D556A7"/>
    <w:rsid w:val="63D77E29"/>
    <w:rsid w:val="63DA184F"/>
    <w:rsid w:val="63DD630A"/>
    <w:rsid w:val="63E1404C"/>
    <w:rsid w:val="63E61662"/>
    <w:rsid w:val="63E73E74"/>
    <w:rsid w:val="63E91153"/>
    <w:rsid w:val="63E94CAF"/>
    <w:rsid w:val="63EB6C79"/>
    <w:rsid w:val="63F277E9"/>
    <w:rsid w:val="63F95441"/>
    <w:rsid w:val="63FF1670"/>
    <w:rsid w:val="63FF23D3"/>
    <w:rsid w:val="64047D3A"/>
    <w:rsid w:val="64055F8C"/>
    <w:rsid w:val="64061D04"/>
    <w:rsid w:val="640A35A3"/>
    <w:rsid w:val="640B2A07"/>
    <w:rsid w:val="640D22D6"/>
    <w:rsid w:val="64104931"/>
    <w:rsid w:val="641425A0"/>
    <w:rsid w:val="6416019A"/>
    <w:rsid w:val="641712CE"/>
    <w:rsid w:val="64177A6E"/>
    <w:rsid w:val="641A130C"/>
    <w:rsid w:val="641F230D"/>
    <w:rsid w:val="64200E4F"/>
    <w:rsid w:val="6421798E"/>
    <w:rsid w:val="64283A29"/>
    <w:rsid w:val="642E49EA"/>
    <w:rsid w:val="642F3009"/>
    <w:rsid w:val="64354398"/>
    <w:rsid w:val="643C74D4"/>
    <w:rsid w:val="643E4FFA"/>
    <w:rsid w:val="643F390D"/>
    <w:rsid w:val="64437AD9"/>
    <w:rsid w:val="64462101"/>
    <w:rsid w:val="64494212"/>
    <w:rsid w:val="644A7E43"/>
    <w:rsid w:val="644E1643"/>
    <w:rsid w:val="64502F80"/>
    <w:rsid w:val="64515E31"/>
    <w:rsid w:val="645A5BAC"/>
    <w:rsid w:val="645A795A"/>
    <w:rsid w:val="645E569D"/>
    <w:rsid w:val="647153D0"/>
    <w:rsid w:val="64721148"/>
    <w:rsid w:val="64744F6F"/>
    <w:rsid w:val="64760C38"/>
    <w:rsid w:val="64763953"/>
    <w:rsid w:val="64803865"/>
    <w:rsid w:val="64835103"/>
    <w:rsid w:val="64857FA9"/>
    <w:rsid w:val="648669A1"/>
    <w:rsid w:val="648A46E4"/>
    <w:rsid w:val="64947310"/>
    <w:rsid w:val="649D65BE"/>
    <w:rsid w:val="649E018F"/>
    <w:rsid w:val="64A357A5"/>
    <w:rsid w:val="64A71A33"/>
    <w:rsid w:val="64AC28AC"/>
    <w:rsid w:val="64AD2180"/>
    <w:rsid w:val="64C00105"/>
    <w:rsid w:val="64C002CD"/>
    <w:rsid w:val="64C01EB3"/>
    <w:rsid w:val="64C37BF6"/>
    <w:rsid w:val="64D63485"/>
    <w:rsid w:val="64DB0A9B"/>
    <w:rsid w:val="64DB6CED"/>
    <w:rsid w:val="64E536C8"/>
    <w:rsid w:val="64E8140A"/>
    <w:rsid w:val="64EA5182"/>
    <w:rsid w:val="64EB5977"/>
    <w:rsid w:val="64EC081F"/>
    <w:rsid w:val="64F102BF"/>
    <w:rsid w:val="64F36A43"/>
    <w:rsid w:val="64F74395"/>
    <w:rsid w:val="64FC03CA"/>
    <w:rsid w:val="65053D6A"/>
    <w:rsid w:val="651F7CFD"/>
    <w:rsid w:val="652C0CB8"/>
    <w:rsid w:val="652F7039"/>
    <w:rsid w:val="65340DFB"/>
    <w:rsid w:val="65362175"/>
    <w:rsid w:val="653A1C66"/>
    <w:rsid w:val="653A1E7A"/>
    <w:rsid w:val="653B59DE"/>
    <w:rsid w:val="653F19D0"/>
    <w:rsid w:val="653F4261"/>
    <w:rsid w:val="6545060B"/>
    <w:rsid w:val="6545683A"/>
    <w:rsid w:val="65491EA9"/>
    <w:rsid w:val="654E5711"/>
    <w:rsid w:val="65524346"/>
    <w:rsid w:val="655B7E2E"/>
    <w:rsid w:val="655D5954"/>
    <w:rsid w:val="655E6EE4"/>
    <w:rsid w:val="65600494"/>
    <w:rsid w:val="65652A5B"/>
    <w:rsid w:val="65675C6E"/>
    <w:rsid w:val="6569582C"/>
    <w:rsid w:val="65750EF0"/>
    <w:rsid w:val="65766A16"/>
    <w:rsid w:val="657F0565"/>
    <w:rsid w:val="65847385"/>
    <w:rsid w:val="6589499B"/>
    <w:rsid w:val="658A426F"/>
    <w:rsid w:val="658E6328"/>
    <w:rsid w:val="65913850"/>
    <w:rsid w:val="6592787A"/>
    <w:rsid w:val="659642BC"/>
    <w:rsid w:val="65A96DEB"/>
    <w:rsid w:val="65AA7F0D"/>
    <w:rsid w:val="65B01F28"/>
    <w:rsid w:val="65B2547C"/>
    <w:rsid w:val="65B266FE"/>
    <w:rsid w:val="65B574C0"/>
    <w:rsid w:val="65B80DDC"/>
    <w:rsid w:val="65BC08CD"/>
    <w:rsid w:val="65BC6B1F"/>
    <w:rsid w:val="65BD2836"/>
    <w:rsid w:val="65C14BBC"/>
    <w:rsid w:val="65C459D3"/>
    <w:rsid w:val="65C77271"/>
    <w:rsid w:val="65CC211B"/>
    <w:rsid w:val="65CC6636"/>
    <w:rsid w:val="65CD2ADA"/>
    <w:rsid w:val="65CE23AE"/>
    <w:rsid w:val="65D5198E"/>
    <w:rsid w:val="65D774B5"/>
    <w:rsid w:val="65DC0F6F"/>
    <w:rsid w:val="65DC2D1D"/>
    <w:rsid w:val="65DE684E"/>
    <w:rsid w:val="65DF5450"/>
    <w:rsid w:val="65E47FE5"/>
    <w:rsid w:val="65F00576"/>
    <w:rsid w:val="65FA13F5"/>
    <w:rsid w:val="660109D5"/>
    <w:rsid w:val="6603588E"/>
    <w:rsid w:val="6604531C"/>
    <w:rsid w:val="660B3602"/>
    <w:rsid w:val="66172DB0"/>
    <w:rsid w:val="661B3B4A"/>
    <w:rsid w:val="662723A4"/>
    <w:rsid w:val="66280ED6"/>
    <w:rsid w:val="6628789A"/>
    <w:rsid w:val="66291CDA"/>
    <w:rsid w:val="662B0582"/>
    <w:rsid w:val="662C6BF1"/>
    <w:rsid w:val="663366B5"/>
    <w:rsid w:val="6635067F"/>
    <w:rsid w:val="66456B14"/>
    <w:rsid w:val="664851D1"/>
    <w:rsid w:val="66507267"/>
    <w:rsid w:val="6655523D"/>
    <w:rsid w:val="666B22F3"/>
    <w:rsid w:val="666F593F"/>
    <w:rsid w:val="66700141"/>
    <w:rsid w:val="6672364C"/>
    <w:rsid w:val="667473F9"/>
    <w:rsid w:val="66761C7D"/>
    <w:rsid w:val="66794A10"/>
    <w:rsid w:val="668718AC"/>
    <w:rsid w:val="668D04BB"/>
    <w:rsid w:val="669058B5"/>
    <w:rsid w:val="669453A6"/>
    <w:rsid w:val="669929BC"/>
    <w:rsid w:val="66AA2E1B"/>
    <w:rsid w:val="66AC783F"/>
    <w:rsid w:val="66AD290B"/>
    <w:rsid w:val="66B43C9A"/>
    <w:rsid w:val="66BB5028"/>
    <w:rsid w:val="66BD1969"/>
    <w:rsid w:val="66BE5B84"/>
    <w:rsid w:val="66C90863"/>
    <w:rsid w:val="66C947F9"/>
    <w:rsid w:val="66CE47A0"/>
    <w:rsid w:val="66D35BE1"/>
    <w:rsid w:val="66DC1BAE"/>
    <w:rsid w:val="66E300DB"/>
    <w:rsid w:val="66E3351B"/>
    <w:rsid w:val="66E75E1D"/>
    <w:rsid w:val="66F75934"/>
    <w:rsid w:val="670342D9"/>
    <w:rsid w:val="670646DE"/>
    <w:rsid w:val="67095D94"/>
    <w:rsid w:val="67112E9A"/>
    <w:rsid w:val="671309C0"/>
    <w:rsid w:val="671B5AC7"/>
    <w:rsid w:val="671B7875"/>
    <w:rsid w:val="671C049D"/>
    <w:rsid w:val="671F55B7"/>
    <w:rsid w:val="67336D2D"/>
    <w:rsid w:val="67351F2C"/>
    <w:rsid w:val="67380715"/>
    <w:rsid w:val="673A09E8"/>
    <w:rsid w:val="673D0897"/>
    <w:rsid w:val="673D2CB7"/>
    <w:rsid w:val="673D3C8F"/>
    <w:rsid w:val="67403A84"/>
    <w:rsid w:val="67430B73"/>
    <w:rsid w:val="67434155"/>
    <w:rsid w:val="67486190"/>
    <w:rsid w:val="674A015A"/>
    <w:rsid w:val="674C5C80"/>
    <w:rsid w:val="67513297"/>
    <w:rsid w:val="6753700F"/>
    <w:rsid w:val="675B27E4"/>
    <w:rsid w:val="675E59B4"/>
    <w:rsid w:val="675F76DF"/>
    <w:rsid w:val="67674868"/>
    <w:rsid w:val="6769250E"/>
    <w:rsid w:val="676F196F"/>
    <w:rsid w:val="67705236"/>
    <w:rsid w:val="6773145F"/>
    <w:rsid w:val="67784CC7"/>
    <w:rsid w:val="677B47B7"/>
    <w:rsid w:val="677F6056"/>
    <w:rsid w:val="6787315C"/>
    <w:rsid w:val="67892A30"/>
    <w:rsid w:val="678A67A9"/>
    <w:rsid w:val="679118E5"/>
    <w:rsid w:val="67945332"/>
    <w:rsid w:val="67966EFB"/>
    <w:rsid w:val="679B09B6"/>
    <w:rsid w:val="679B334F"/>
    <w:rsid w:val="67AB6E4B"/>
    <w:rsid w:val="67AC2BC3"/>
    <w:rsid w:val="67AC4971"/>
    <w:rsid w:val="67B37AAD"/>
    <w:rsid w:val="67B51A77"/>
    <w:rsid w:val="67B6759E"/>
    <w:rsid w:val="67C27CF0"/>
    <w:rsid w:val="67C47F0C"/>
    <w:rsid w:val="67C73559"/>
    <w:rsid w:val="67CA5017"/>
    <w:rsid w:val="67DF42D7"/>
    <w:rsid w:val="67E17915"/>
    <w:rsid w:val="67E97973"/>
    <w:rsid w:val="67EB36EB"/>
    <w:rsid w:val="67F32B5E"/>
    <w:rsid w:val="67F87BB6"/>
    <w:rsid w:val="67FD51CC"/>
    <w:rsid w:val="67FF0F45"/>
    <w:rsid w:val="68071723"/>
    <w:rsid w:val="680B5B3B"/>
    <w:rsid w:val="68112A26"/>
    <w:rsid w:val="68142C42"/>
    <w:rsid w:val="6817628E"/>
    <w:rsid w:val="681D761D"/>
    <w:rsid w:val="68264723"/>
    <w:rsid w:val="682816DB"/>
    <w:rsid w:val="68297D70"/>
    <w:rsid w:val="682D2446"/>
    <w:rsid w:val="68307BE6"/>
    <w:rsid w:val="68330BEE"/>
    <w:rsid w:val="68420E31"/>
    <w:rsid w:val="68466B73"/>
    <w:rsid w:val="6855451E"/>
    <w:rsid w:val="68570D81"/>
    <w:rsid w:val="686B482C"/>
    <w:rsid w:val="687339C1"/>
    <w:rsid w:val="6874548F"/>
    <w:rsid w:val="68761A0D"/>
    <w:rsid w:val="687731D1"/>
    <w:rsid w:val="688356D2"/>
    <w:rsid w:val="6884144A"/>
    <w:rsid w:val="688431F8"/>
    <w:rsid w:val="688A2E98"/>
    <w:rsid w:val="6897117D"/>
    <w:rsid w:val="689C49E5"/>
    <w:rsid w:val="68A324B8"/>
    <w:rsid w:val="68A35D74"/>
    <w:rsid w:val="68A37B22"/>
    <w:rsid w:val="68A76C8B"/>
    <w:rsid w:val="68AB31C8"/>
    <w:rsid w:val="68B213DE"/>
    <w:rsid w:val="68B57855"/>
    <w:rsid w:val="68BB30BE"/>
    <w:rsid w:val="68BC67E4"/>
    <w:rsid w:val="68BE0BFC"/>
    <w:rsid w:val="68BE7D5D"/>
    <w:rsid w:val="68C77CB4"/>
    <w:rsid w:val="68D67EF7"/>
    <w:rsid w:val="68DB3760"/>
    <w:rsid w:val="68E1064A"/>
    <w:rsid w:val="68E5013A"/>
    <w:rsid w:val="68EC771B"/>
    <w:rsid w:val="68ED3493"/>
    <w:rsid w:val="68F4037D"/>
    <w:rsid w:val="68FF4E51"/>
    <w:rsid w:val="69081541"/>
    <w:rsid w:val="6908207B"/>
    <w:rsid w:val="690F3409"/>
    <w:rsid w:val="691300EE"/>
    <w:rsid w:val="69180510"/>
    <w:rsid w:val="691E53FA"/>
    <w:rsid w:val="692A3D9F"/>
    <w:rsid w:val="692E7D33"/>
    <w:rsid w:val="692F25A0"/>
    <w:rsid w:val="692F585A"/>
    <w:rsid w:val="69382960"/>
    <w:rsid w:val="693B7D5A"/>
    <w:rsid w:val="69401815"/>
    <w:rsid w:val="69407A67"/>
    <w:rsid w:val="69470DF5"/>
    <w:rsid w:val="694A61EF"/>
    <w:rsid w:val="694C640B"/>
    <w:rsid w:val="694F6515"/>
    <w:rsid w:val="695452C0"/>
    <w:rsid w:val="69561038"/>
    <w:rsid w:val="695C3D4C"/>
    <w:rsid w:val="696278F8"/>
    <w:rsid w:val="69674FF3"/>
    <w:rsid w:val="696B5066"/>
    <w:rsid w:val="6974195C"/>
    <w:rsid w:val="69747710"/>
    <w:rsid w:val="69750D65"/>
    <w:rsid w:val="69780FAF"/>
    <w:rsid w:val="69781B4C"/>
    <w:rsid w:val="698536CB"/>
    <w:rsid w:val="698711F2"/>
    <w:rsid w:val="698A6F34"/>
    <w:rsid w:val="698E432E"/>
    <w:rsid w:val="699102C2"/>
    <w:rsid w:val="699658D9"/>
    <w:rsid w:val="699723BA"/>
    <w:rsid w:val="699B4C9D"/>
    <w:rsid w:val="699B6A4B"/>
    <w:rsid w:val="699D116B"/>
    <w:rsid w:val="699F5212"/>
    <w:rsid w:val="69AA3132"/>
    <w:rsid w:val="69AE063C"/>
    <w:rsid w:val="69B01856"/>
    <w:rsid w:val="69B33D95"/>
    <w:rsid w:val="69B74954"/>
    <w:rsid w:val="69C04704"/>
    <w:rsid w:val="69C77840"/>
    <w:rsid w:val="69C9180A"/>
    <w:rsid w:val="69CC30A8"/>
    <w:rsid w:val="69D02B99"/>
    <w:rsid w:val="69D72179"/>
    <w:rsid w:val="69DD2C01"/>
    <w:rsid w:val="69E1611D"/>
    <w:rsid w:val="69E219E8"/>
    <w:rsid w:val="69E403F2"/>
    <w:rsid w:val="69E464FF"/>
    <w:rsid w:val="69EA352F"/>
    <w:rsid w:val="69EC374B"/>
    <w:rsid w:val="69F10D61"/>
    <w:rsid w:val="69F34AD9"/>
    <w:rsid w:val="69F543AD"/>
    <w:rsid w:val="69F66377"/>
    <w:rsid w:val="69FC398E"/>
    <w:rsid w:val="69FE0CAC"/>
    <w:rsid w:val="6A003904"/>
    <w:rsid w:val="6A0C16F7"/>
    <w:rsid w:val="6A154A4F"/>
    <w:rsid w:val="6A1707C7"/>
    <w:rsid w:val="6A1F58CE"/>
    <w:rsid w:val="6A2336AA"/>
    <w:rsid w:val="6A274783"/>
    <w:rsid w:val="6A290BB0"/>
    <w:rsid w:val="6A2E78BF"/>
    <w:rsid w:val="6A310DC4"/>
    <w:rsid w:val="6A36338D"/>
    <w:rsid w:val="6A3C022E"/>
    <w:rsid w:val="6A4175F2"/>
    <w:rsid w:val="6A425119"/>
    <w:rsid w:val="6A4415E9"/>
    <w:rsid w:val="6A45564A"/>
    <w:rsid w:val="6A470981"/>
    <w:rsid w:val="6A4B221F"/>
    <w:rsid w:val="6A4E3ABD"/>
    <w:rsid w:val="6A507835"/>
    <w:rsid w:val="6A5512F0"/>
    <w:rsid w:val="6A594CE9"/>
    <w:rsid w:val="6A5A4B58"/>
    <w:rsid w:val="6A5F5CCB"/>
    <w:rsid w:val="6A61001F"/>
    <w:rsid w:val="6A682DD1"/>
    <w:rsid w:val="6A6B3979"/>
    <w:rsid w:val="6A6B3E58"/>
    <w:rsid w:val="6A6E4160"/>
    <w:rsid w:val="6A830FEC"/>
    <w:rsid w:val="6A835E5D"/>
    <w:rsid w:val="6A8A71EB"/>
    <w:rsid w:val="6A8E65B0"/>
    <w:rsid w:val="6A957467"/>
    <w:rsid w:val="6A995680"/>
    <w:rsid w:val="6A9A0A7D"/>
    <w:rsid w:val="6A9B2E65"/>
    <w:rsid w:val="6A9F256B"/>
    <w:rsid w:val="6AA06A0F"/>
    <w:rsid w:val="6AA162E3"/>
    <w:rsid w:val="6AA3205B"/>
    <w:rsid w:val="6AA33E09"/>
    <w:rsid w:val="6AA70E28"/>
    <w:rsid w:val="6AAB53B4"/>
    <w:rsid w:val="6AB44268"/>
    <w:rsid w:val="6AB9362D"/>
    <w:rsid w:val="6ABA37A5"/>
    <w:rsid w:val="6ABF491E"/>
    <w:rsid w:val="6AC10733"/>
    <w:rsid w:val="6AC65D4A"/>
    <w:rsid w:val="6AD32F4D"/>
    <w:rsid w:val="6ADB7CDE"/>
    <w:rsid w:val="6ADE3093"/>
    <w:rsid w:val="6AE30540"/>
    <w:rsid w:val="6AE34B4E"/>
    <w:rsid w:val="6AE53247"/>
    <w:rsid w:val="6AEB57B0"/>
    <w:rsid w:val="6AF64881"/>
    <w:rsid w:val="6AF72426"/>
    <w:rsid w:val="6AFC79BD"/>
    <w:rsid w:val="6B03425A"/>
    <w:rsid w:val="6B0367D0"/>
    <w:rsid w:val="6B122F68"/>
    <w:rsid w:val="6B144D07"/>
    <w:rsid w:val="6B146AB5"/>
    <w:rsid w:val="6B1F3509"/>
    <w:rsid w:val="6B2018FE"/>
    <w:rsid w:val="6B253391"/>
    <w:rsid w:val="6B272C8C"/>
    <w:rsid w:val="6B376C47"/>
    <w:rsid w:val="6B3B6738"/>
    <w:rsid w:val="6B431148"/>
    <w:rsid w:val="6B43383E"/>
    <w:rsid w:val="6B43739A"/>
    <w:rsid w:val="6B476E8A"/>
    <w:rsid w:val="6B482C03"/>
    <w:rsid w:val="6B54424D"/>
    <w:rsid w:val="6B5A17A3"/>
    <w:rsid w:val="6B5B0B88"/>
    <w:rsid w:val="6B5D72DD"/>
    <w:rsid w:val="6B610780"/>
    <w:rsid w:val="6B637A3C"/>
    <w:rsid w:val="6B6537B4"/>
    <w:rsid w:val="6B6A2B79"/>
    <w:rsid w:val="6B7800FD"/>
    <w:rsid w:val="6B7830D2"/>
    <w:rsid w:val="6B7D28AC"/>
    <w:rsid w:val="6B7E03D2"/>
    <w:rsid w:val="6B824366"/>
    <w:rsid w:val="6B827EC3"/>
    <w:rsid w:val="6B8F25DF"/>
    <w:rsid w:val="6B8F5FFD"/>
    <w:rsid w:val="6B9428CC"/>
    <w:rsid w:val="6B945E48"/>
    <w:rsid w:val="6B96396E"/>
    <w:rsid w:val="6B967230"/>
    <w:rsid w:val="6B99345E"/>
    <w:rsid w:val="6B9A16B0"/>
    <w:rsid w:val="6B9A3FAC"/>
    <w:rsid w:val="6B9E0A74"/>
    <w:rsid w:val="6BA270DA"/>
    <w:rsid w:val="6BA44383"/>
    <w:rsid w:val="6BAF4A30"/>
    <w:rsid w:val="6BBA3B00"/>
    <w:rsid w:val="6BBD714D"/>
    <w:rsid w:val="6BC60322"/>
    <w:rsid w:val="6BC83EFB"/>
    <w:rsid w:val="6BCF210F"/>
    <w:rsid w:val="6BD02241"/>
    <w:rsid w:val="6BDB5825"/>
    <w:rsid w:val="6BEA5A68"/>
    <w:rsid w:val="6BEB43F3"/>
    <w:rsid w:val="6BFA214F"/>
    <w:rsid w:val="6BFF1513"/>
    <w:rsid w:val="6BFF59B7"/>
    <w:rsid w:val="6C0279BB"/>
    <w:rsid w:val="6C07486C"/>
    <w:rsid w:val="6C111246"/>
    <w:rsid w:val="6C154F17"/>
    <w:rsid w:val="6C16685D"/>
    <w:rsid w:val="6C1825D5"/>
    <w:rsid w:val="6C186A79"/>
    <w:rsid w:val="6C1D5E3D"/>
    <w:rsid w:val="6C335661"/>
    <w:rsid w:val="6C3513D9"/>
    <w:rsid w:val="6C382C77"/>
    <w:rsid w:val="6C3A079D"/>
    <w:rsid w:val="6C3A254B"/>
    <w:rsid w:val="6C3E2242"/>
    <w:rsid w:val="6C411B2C"/>
    <w:rsid w:val="6C47110C"/>
    <w:rsid w:val="6C4B29AA"/>
    <w:rsid w:val="6C4B4758"/>
    <w:rsid w:val="6C4D263F"/>
    <w:rsid w:val="6C506213"/>
    <w:rsid w:val="6C5347AA"/>
    <w:rsid w:val="6C543A21"/>
    <w:rsid w:val="6C57134F"/>
    <w:rsid w:val="6C586E75"/>
    <w:rsid w:val="6C5A499B"/>
    <w:rsid w:val="6C5B60E0"/>
    <w:rsid w:val="6C5D01ED"/>
    <w:rsid w:val="6C5D2C8A"/>
    <w:rsid w:val="6C733CAF"/>
    <w:rsid w:val="6C7A78C6"/>
    <w:rsid w:val="6C8163CC"/>
    <w:rsid w:val="6C841A18"/>
    <w:rsid w:val="6C895281"/>
    <w:rsid w:val="6C997B2F"/>
    <w:rsid w:val="6CA34594"/>
    <w:rsid w:val="6CB105AA"/>
    <w:rsid w:val="6CB542C8"/>
    <w:rsid w:val="6CB57E24"/>
    <w:rsid w:val="6CB94F80"/>
    <w:rsid w:val="6CBB0C3F"/>
    <w:rsid w:val="6CBC7404"/>
    <w:rsid w:val="6CC14A1B"/>
    <w:rsid w:val="6CC85DA9"/>
    <w:rsid w:val="6CCB5899"/>
    <w:rsid w:val="6CCF5389"/>
    <w:rsid w:val="6CD24E7A"/>
    <w:rsid w:val="6CD36713"/>
    <w:rsid w:val="6CE32BE3"/>
    <w:rsid w:val="6CE349E0"/>
    <w:rsid w:val="6CE55E74"/>
    <w:rsid w:val="6CEF77DA"/>
    <w:rsid w:val="6CF05300"/>
    <w:rsid w:val="6CF92413"/>
    <w:rsid w:val="6CF941B4"/>
    <w:rsid w:val="6CFA1CDB"/>
    <w:rsid w:val="6CFA617E"/>
    <w:rsid w:val="6CFC5A53"/>
    <w:rsid w:val="6D0D4104"/>
    <w:rsid w:val="6D0D5EB2"/>
    <w:rsid w:val="6D0E5786"/>
    <w:rsid w:val="6D140FEE"/>
    <w:rsid w:val="6D177AD5"/>
    <w:rsid w:val="6D1D4308"/>
    <w:rsid w:val="6D1D4911"/>
    <w:rsid w:val="6D1F7993"/>
    <w:rsid w:val="6D205BE5"/>
    <w:rsid w:val="6D21195D"/>
    <w:rsid w:val="6D241539"/>
    <w:rsid w:val="6D282CEC"/>
    <w:rsid w:val="6D283D50"/>
    <w:rsid w:val="6D2854BA"/>
    <w:rsid w:val="6D2B6338"/>
    <w:rsid w:val="6D3451EC"/>
    <w:rsid w:val="6D366A87"/>
    <w:rsid w:val="6D374CDD"/>
    <w:rsid w:val="6D392803"/>
    <w:rsid w:val="6D3E42BD"/>
    <w:rsid w:val="6D452BB7"/>
    <w:rsid w:val="6D505D9E"/>
    <w:rsid w:val="6D53301E"/>
    <w:rsid w:val="6D561607"/>
    <w:rsid w:val="6D5E670D"/>
    <w:rsid w:val="6D66534A"/>
    <w:rsid w:val="6D6B4986"/>
    <w:rsid w:val="6D720EE9"/>
    <w:rsid w:val="6D747CDF"/>
    <w:rsid w:val="6D7952F5"/>
    <w:rsid w:val="6D7E58D8"/>
    <w:rsid w:val="6D855C11"/>
    <w:rsid w:val="6D9220F4"/>
    <w:rsid w:val="6D9B23AC"/>
    <w:rsid w:val="6D9D7236"/>
    <w:rsid w:val="6DB0234E"/>
    <w:rsid w:val="6DB1683D"/>
    <w:rsid w:val="6DB36FD5"/>
    <w:rsid w:val="6DB41F36"/>
    <w:rsid w:val="6DC36570"/>
    <w:rsid w:val="6DD35B5F"/>
    <w:rsid w:val="6DD4077E"/>
    <w:rsid w:val="6DD62E63"/>
    <w:rsid w:val="6DDA1E4B"/>
    <w:rsid w:val="6DDB1B0C"/>
    <w:rsid w:val="6DE94229"/>
    <w:rsid w:val="6DED0C6F"/>
    <w:rsid w:val="6DF7274A"/>
    <w:rsid w:val="6DFE2645"/>
    <w:rsid w:val="6E021177"/>
    <w:rsid w:val="6E0476F6"/>
    <w:rsid w:val="6E071C62"/>
    <w:rsid w:val="6E076DA5"/>
    <w:rsid w:val="6E0A5F70"/>
    <w:rsid w:val="6E105C5A"/>
    <w:rsid w:val="6E1119D2"/>
    <w:rsid w:val="6E176BAC"/>
    <w:rsid w:val="6E1D3ED3"/>
    <w:rsid w:val="6E201C15"/>
    <w:rsid w:val="6E22773B"/>
    <w:rsid w:val="6E2434B3"/>
    <w:rsid w:val="6E2711F5"/>
    <w:rsid w:val="6E2C05BA"/>
    <w:rsid w:val="6E2C22B2"/>
    <w:rsid w:val="6E2E60E0"/>
    <w:rsid w:val="6E4476B1"/>
    <w:rsid w:val="6E493F8C"/>
    <w:rsid w:val="6E4D6A7E"/>
    <w:rsid w:val="6E4E5192"/>
    <w:rsid w:val="6E587601"/>
    <w:rsid w:val="6E5D4B6C"/>
    <w:rsid w:val="6E5F44EB"/>
    <w:rsid w:val="6E625D89"/>
    <w:rsid w:val="6E647D53"/>
    <w:rsid w:val="6E6C4E5A"/>
    <w:rsid w:val="6E6D76E9"/>
    <w:rsid w:val="6E6F4DDD"/>
    <w:rsid w:val="6E700B4D"/>
    <w:rsid w:val="6E740BD2"/>
    <w:rsid w:val="6E755ABD"/>
    <w:rsid w:val="6E832D19"/>
    <w:rsid w:val="6E8403F6"/>
    <w:rsid w:val="6E8421A4"/>
    <w:rsid w:val="6E8E3022"/>
    <w:rsid w:val="6E8E6B7E"/>
    <w:rsid w:val="6E9323E7"/>
    <w:rsid w:val="6E9543B1"/>
    <w:rsid w:val="6E957F0D"/>
    <w:rsid w:val="6E963C85"/>
    <w:rsid w:val="6E9F6FDD"/>
    <w:rsid w:val="6EA039EE"/>
    <w:rsid w:val="6EA330EB"/>
    <w:rsid w:val="6EA840E4"/>
    <w:rsid w:val="6EAA3D90"/>
    <w:rsid w:val="6EAF31BB"/>
    <w:rsid w:val="6EC6456A"/>
    <w:rsid w:val="6EC802E2"/>
    <w:rsid w:val="6EC95E08"/>
    <w:rsid w:val="6ECA28F1"/>
    <w:rsid w:val="6ECA57CB"/>
    <w:rsid w:val="6ED053E9"/>
    <w:rsid w:val="6ED50C51"/>
    <w:rsid w:val="6ED8604B"/>
    <w:rsid w:val="6EE40E94"/>
    <w:rsid w:val="6EE42C42"/>
    <w:rsid w:val="6EE53863"/>
    <w:rsid w:val="6EEE586F"/>
    <w:rsid w:val="6EEF1D88"/>
    <w:rsid w:val="6EF154D3"/>
    <w:rsid w:val="6EF415C9"/>
    <w:rsid w:val="6EF6287F"/>
    <w:rsid w:val="6EFD5AB2"/>
    <w:rsid w:val="6EFE75E5"/>
    <w:rsid w:val="6F084B83"/>
    <w:rsid w:val="6F0B4673"/>
    <w:rsid w:val="6F120CE7"/>
    <w:rsid w:val="6F173018"/>
    <w:rsid w:val="6F196D90"/>
    <w:rsid w:val="6F255735"/>
    <w:rsid w:val="6F26325B"/>
    <w:rsid w:val="6F2B0871"/>
    <w:rsid w:val="6F2B7282"/>
    <w:rsid w:val="6F301FF6"/>
    <w:rsid w:val="6F3F460F"/>
    <w:rsid w:val="6F411E43"/>
    <w:rsid w:val="6F423F06"/>
    <w:rsid w:val="6F4940A8"/>
    <w:rsid w:val="6F4956C8"/>
    <w:rsid w:val="6F4B023D"/>
    <w:rsid w:val="6F505B38"/>
    <w:rsid w:val="6F547DC8"/>
    <w:rsid w:val="6F5B1156"/>
    <w:rsid w:val="6F5E47A3"/>
    <w:rsid w:val="6F5E47AE"/>
    <w:rsid w:val="6F6124E5"/>
    <w:rsid w:val="6F653D83"/>
    <w:rsid w:val="6F6A3147"/>
    <w:rsid w:val="6F6D21EC"/>
    <w:rsid w:val="6F7246F2"/>
    <w:rsid w:val="6F727FDC"/>
    <w:rsid w:val="6F7B5355"/>
    <w:rsid w:val="6F7C2F7F"/>
    <w:rsid w:val="6F8166E3"/>
    <w:rsid w:val="6F8545BB"/>
    <w:rsid w:val="6F9F024F"/>
    <w:rsid w:val="6FA978DF"/>
    <w:rsid w:val="6FAA3E8C"/>
    <w:rsid w:val="6FAF14A2"/>
    <w:rsid w:val="6FB42615"/>
    <w:rsid w:val="6FB767E8"/>
    <w:rsid w:val="6FBB39A3"/>
    <w:rsid w:val="6FC52A74"/>
    <w:rsid w:val="6FCA1E38"/>
    <w:rsid w:val="6FD607DD"/>
    <w:rsid w:val="6FE23626"/>
    <w:rsid w:val="6FE63CCB"/>
    <w:rsid w:val="6FE729EA"/>
    <w:rsid w:val="6FE74B3D"/>
    <w:rsid w:val="6FE80510"/>
    <w:rsid w:val="6FEC0000"/>
    <w:rsid w:val="6FEF7AF1"/>
    <w:rsid w:val="6FF45107"/>
    <w:rsid w:val="6FF46EB5"/>
    <w:rsid w:val="6FF72402"/>
    <w:rsid w:val="6FF9096F"/>
    <w:rsid w:val="70041D30"/>
    <w:rsid w:val="70057314"/>
    <w:rsid w:val="7009508A"/>
    <w:rsid w:val="700E441B"/>
    <w:rsid w:val="700E4B1F"/>
    <w:rsid w:val="700F7AA1"/>
    <w:rsid w:val="701025DA"/>
    <w:rsid w:val="701051AB"/>
    <w:rsid w:val="7018393D"/>
    <w:rsid w:val="7018538F"/>
    <w:rsid w:val="701D465E"/>
    <w:rsid w:val="701E512F"/>
    <w:rsid w:val="701F03D6"/>
    <w:rsid w:val="70213056"/>
    <w:rsid w:val="70227EC6"/>
    <w:rsid w:val="70313CD0"/>
    <w:rsid w:val="70384FF4"/>
    <w:rsid w:val="70390D6C"/>
    <w:rsid w:val="70393D95"/>
    <w:rsid w:val="70431BE8"/>
    <w:rsid w:val="70495453"/>
    <w:rsid w:val="70497892"/>
    <w:rsid w:val="704F058F"/>
    <w:rsid w:val="704F233D"/>
    <w:rsid w:val="70523676"/>
    <w:rsid w:val="7053007F"/>
    <w:rsid w:val="706202C3"/>
    <w:rsid w:val="70654352"/>
    <w:rsid w:val="706C7393"/>
    <w:rsid w:val="70785D38"/>
    <w:rsid w:val="707A560C"/>
    <w:rsid w:val="707B2A29"/>
    <w:rsid w:val="707D6EAA"/>
    <w:rsid w:val="708434E9"/>
    <w:rsid w:val="70871AD7"/>
    <w:rsid w:val="708E2E66"/>
    <w:rsid w:val="70903082"/>
    <w:rsid w:val="70910BA8"/>
    <w:rsid w:val="709B05DA"/>
    <w:rsid w:val="70A00D30"/>
    <w:rsid w:val="70A1703D"/>
    <w:rsid w:val="70B12FF8"/>
    <w:rsid w:val="70B2124A"/>
    <w:rsid w:val="70B70453"/>
    <w:rsid w:val="70B825D8"/>
    <w:rsid w:val="70B94304"/>
    <w:rsid w:val="70BB79D3"/>
    <w:rsid w:val="70BD199D"/>
    <w:rsid w:val="70C268FE"/>
    <w:rsid w:val="70C525FF"/>
    <w:rsid w:val="70CC2581"/>
    <w:rsid w:val="70D017F7"/>
    <w:rsid w:val="70D171F6"/>
    <w:rsid w:val="70D20BDD"/>
    <w:rsid w:val="70D36317"/>
    <w:rsid w:val="70D50A94"/>
    <w:rsid w:val="70D72A5F"/>
    <w:rsid w:val="70DC62C7"/>
    <w:rsid w:val="70E707C8"/>
    <w:rsid w:val="70E930EE"/>
    <w:rsid w:val="70F15536"/>
    <w:rsid w:val="70F27898"/>
    <w:rsid w:val="71093230"/>
    <w:rsid w:val="710B0D39"/>
    <w:rsid w:val="710E21F8"/>
    <w:rsid w:val="71121CE9"/>
    <w:rsid w:val="71193077"/>
    <w:rsid w:val="711B08FA"/>
    <w:rsid w:val="7120264E"/>
    <w:rsid w:val="71233EF6"/>
    <w:rsid w:val="712940E5"/>
    <w:rsid w:val="712F47EA"/>
    <w:rsid w:val="712F4EC1"/>
    <w:rsid w:val="71305C7A"/>
    <w:rsid w:val="713954C7"/>
    <w:rsid w:val="713C0B14"/>
    <w:rsid w:val="713F0604"/>
    <w:rsid w:val="714125CE"/>
    <w:rsid w:val="714516D2"/>
    <w:rsid w:val="714874B8"/>
    <w:rsid w:val="715220E5"/>
    <w:rsid w:val="715B3C16"/>
    <w:rsid w:val="715E64B8"/>
    <w:rsid w:val="715E6876"/>
    <w:rsid w:val="716F0EE9"/>
    <w:rsid w:val="717209D9"/>
    <w:rsid w:val="71762326"/>
    <w:rsid w:val="71775FF0"/>
    <w:rsid w:val="717C3606"/>
    <w:rsid w:val="718B55F7"/>
    <w:rsid w:val="71910B94"/>
    <w:rsid w:val="71927521"/>
    <w:rsid w:val="71970440"/>
    <w:rsid w:val="719E17CE"/>
    <w:rsid w:val="71A1306D"/>
    <w:rsid w:val="71A55DCD"/>
    <w:rsid w:val="71AA0173"/>
    <w:rsid w:val="71AC3EEB"/>
    <w:rsid w:val="71AC5951"/>
    <w:rsid w:val="71B33DA4"/>
    <w:rsid w:val="71B66B18"/>
    <w:rsid w:val="71B72890"/>
    <w:rsid w:val="71BC1C54"/>
    <w:rsid w:val="71BC7EA6"/>
    <w:rsid w:val="71C232C4"/>
    <w:rsid w:val="71C254BD"/>
    <w:rsid w:val="71C32FE3"/>
    <w:rsid w:val="71C8684B"/>
    <w:rsid w:val="71D62179"/>
    <w:rsid w:val="71D76A8E"/>
    <w:rsid w:val="71D84CE0"/>
    <w:rsid w:val="71DA3080"/>
    <w:rsid w:val="71E73B20"/>
    <w:rsid w:val="71ED1E0E"/>
    <w:rsid w:val="71F05487"/>
    <w:rsid w:val="71F475E4"/>
    <w:rsid w:val="71F66F14"/>
    <w:rsid w:val="71F87130"/>
    <w:rsid w:val="71FD75EA"/>
    <w:rsid w:val="72005FE5"/>
    <w:rsid w:val="72035AD5"/>
    <w:rsid w:val="720553A9"/>
    <w:rsid w:val="72077373"/>
    <w:rsid w:val="7209768E"/>
    <w:rsid w:val="72121874"/>
    <w:rsid w:val="72133F6A"/>
    <w:rsid w:val="72135D18"/>
    <w:rsid w:val="72161365"/>
    <w:rsid w:val="721970A7"/>
    <w:rsid w:val="721B16A0"/>
    <w:rsid w:val="721D4433"/>
    <w:rsid w:val="722213E2"/>
    <w:rsid w:val="722241AD"/>
    <w:rsid w:val="72233A82"/>
    <w:rsid w:val="72273572"/>
    <w:rsid w:val="722A6598"/>
    <w:rsid w:val="722F68B9"/>
    <w:rsid w:val="723143F0"/>
    <w:rsid w:val="72331F17"/>
    <w:rsid w:val="72353200"/>
    <w:rsid w:val="72386F23"/>
    <w:rsid w:val="723914F7"/>
    <w:rsid w:val="72395053"/>
    <w:rsid w:val="723B701D"/>
    <w:rsid w:val="723E2669"/>
    <w:rsid w:val="723E7568"/>
    <w:rsid w:val="723F12AE"/>
    <w:rsid w:val="724177ED"/>
    <w:rsid w:val="72472D75"/>
    <w:rsid w:val="7258197D"/>
    <w:rsid w:val="725A253A"/>
    <w:rsid w:val="725A69AF"/>
    <w:rsid w:val="725B1E56"/>
    <w:rsid w:val="725D6F93"/>
    <w:rsid w:val="72655E48"/>
    <w:rsid w:val="72671BC0"/>
    <w:rsid w:val="7269212E"/>
    <w:rsid w:val="727367B7"/>
    <w:rsid w:val="7275252F"/>
    <w:rsid w:val="727644F9"/>
    <w:rsid w:val="72766AE8"/>
    <w:rsid w:val="727D3192"/>
    <w:rsid w:val="727F5809"/>
    <w:rsid w:val="72872262"/>
    <w:rsid w:val="728C6641"/>
    <w:rsid w:val="7294672D"/>
    <w:rsid w:val="7298446F"/>
    <w:rsid w:val="729B5D0E"/>
    <w:rsid w:val="729E0259"/>
    <w:rsid w:val="72A5093A"/>
    <w:rsid w:val="72A746B3"/>
    <w:rsid w:val="72A9042B"/>
    <w:rsid w:val="72AA7CFF"/>
    <w:rsid w:val="72AE2B61"/>
    <w:rsid w:val="72AF08D5"/>
    <w:rsid w:val="72B26FA0"/>
    <w:rsid w:val="72B8066E"/>
    <w:rsid w:val="72BF7C4E"/>
    <w:rsid w:val="72C76B03"/>
    <w:rsid w:val="72D62BD5"/>
    <w:rsid w:val="72D823D5"/>
    <w:rsid w:val="72DA6836"/>
    <w:rsid w:val="72E041B6"/>
    <w:rsid w:val="72E41463"/>
    <w:rsid w:val="72E70F53"/>
    <w:rsid w:val="72EE22E1"/>
    <w:rsid w:val="72F83160"/>
    <w:rsid w:val="72F84F0E"/>
    <w:rsid w:val="72FC2EFD"/>
    <w:rsid w:val="730833A3"/>
    <w:rsid w:val="730B69EF"/>
    <w:rsid w:val="730C2ECF"/>
    <w:rsid w:val="73116721"/>
    <w:rsid w:val="73155AC0"/>
    <w:rsid w:val="73261A7B"/>
    <w:rsid w:val="732949CF"/>
    <w:rsid w:val="732950C8"/>
    <w:rsid w:val="732B52E4"/>
    <w:rsid w:val="732C6966"/>
    <w:rsid w:val="733221CE"/>
    <w:rsid w:val="73357F10"/>
    <w:rsid w:val="733F0D8F"/>
    <w:rsid w:val="7342564E"/>
    <w:rsid w:val="73465C7A"/>
    <w:rsid w:val="734B14E2"/>
    <w:rsid w:val="7352461E"/>
    <w:rsid w:val="73556451"/>
    <w:rsid w:val="73585ACE"/>
    <w:rsid w:val="73591E51"/>
    <w:rsid w:val="735A1887"/>
    <w:rsid w:val="73634DF7"/>
    <w:rsid w:val="73747D8F"/>
    <w:rsid w:val="73774085"/>
    <w:rsid w:val="73845435"/>
    <w:rsid w:val="73944C37"/>
    <w:rsid w:val="73974727"/>
    <w:rsid w:val="739B4217"/>
    <w:rsid w:val="73A62BBC"/>
    <w:rsid w:val="73AA26AC"/>
    <w:rsid w:val="73AE4DAC"/>
    <w:rsid w:val="73B13A3B"/>
    <w:rsid w:val="73B2074D"/>
    <w:rsid w:val="73B250BD"/>
    <w:rsid w:val="73B426A9"/>
    <w:rsid w:val="73C11ECD"/>
    <w:rsid w:val="73C905E8"/>
    <w:rsid w:val="73CD1EF7"/>
    <w:rsid w:val="73CE2E42"/>
    <w:rsid w:val="73D47729"/>
    <w:rsid w:val="73D634A1"/>
    <w:rsid w:val="73DD4830"/>
    <w:rsid w:val="73E060CE"/>
    <w:rsid w:val="73E13BF4"/>
    <w:rsid w:val="73E3796C"/>
    <w:rsid w:val="73E84F83"/>
    <w:rsid w:val="73EA0CFB"/>
    <w:rsid w:val="73F2195D"/>
    <w:rsid w:val="73F27BAF"/>
    <w:rsid w:val="73FB4CB6"/>
    <w:rsid w:val="73FE6BD4"/>
    <w:rsid w:val="74051691"/>
    <w:rsid w:val="74072A13"/>
    <w:rsid w:val="74114085"/>
    <w:rsid w:val="74123DAE"/>
    <w:rsid w:val="74145D78"/>
    <w:rsid w:val="741C4C2C"/>
    <w:rsid w:val="741D7FA1"/>
    <w:rsid w:val="741E09A4"/>
    <w:rsid w:val="7423649A"/>
    <w:rsid w:val="74266358"/>
    <w:rsid w:val="742A559B"/>
    <w:rsid w:val="742C30C1"/>
    <w:rsid w:val="742C42E4"/>
    <w:rsid w:val="74393A30"/>
    <w:rsid w:val="743A5421"/>
    <w:rsid w:val="74424693"/>
    <w:rsid w:val="744B1485"/>
    <w:rsid w:val="744F5002"/>
    <w:rsid w:val="745A3D0B"/>
    <w:rsid w:val="745B5755"/>
    <w:rsid w:val="745E5245"/>
    <w:rsid w:val="74600FBD"/>
    <w:rsid w:val="74692D9A"/>
    <w:rsid w:val="746A3BEA"/>
    <w:rsid w:val="746D05CC"/>
    <w:rsid w:val="746E36DA"/>
    <w:rsid w:val="7472484C"/>
    <w:rsid w:val="747D23FB"/>
    <w:rsid w:val="748007EC"/>
    <w:rsid w:val="74827185"/>
    <w:rsid w:val="74830E88"/>
    <w:rsid w:val="74842B8B"/>
    <w:rsid w:val="748922C2"/>
    <w:rsid w:val="748C0004"/>
    <w:rsid w:val="748D1686"/>
    <w:rsid w:val="748F53FE"/>
    <w:rsid w:val="74902AC7"/>
    <w:rsid w:val="7491298B"/>
    <w:rsid w:val="749173C8"/>
    <w:rsid w:val="74934EEE"/>
    <w:rsid w:val="74940C67"/>
    <w:rsid w:val="74956EB9"/>
    <w:rsid w:val="7499002B"/>
    <w:rsid w:val="74A56FEC"/>
    <w:rsid w:val="74A67FA2"/>
    <w:rsid w:val="74B17A6A"/>
    <w:rsid w:val="74B67BB8"/>
    <w:rsid w:val="74BA691F"/>
    <w:rsid w:val="74BF0599"/>
    <w:rsid w:val="74CA3F6B"/>
    <w:rsid w:val="74CB453C"/>
    <w:rsid w:val="74CE0851"/>
    <w:rsid w:val="74CF1C9F"/>
    <w:rsid w:val="74D86DA5"/>
    <w:rsid w:val="74DC4AE7"/>
    <w:rsid w:val="74DC6CFD"/>
    <w:rsid w:val="74DF1EA2"/>
    <w:rsid w:val="74E120FE"/>
    <w:rsid w:val="74E90FB2"/>
    <w:rsid w:val="74E923B9"/>
    <w:rsid w:val="74EC45FF"/>
    <w:rsid w:val="74EC52E3"/>
    <w:rsid w:val="74EE7BBC"/>
    <w:rsid w:val="74F6547D"/>
    <w:rsid w:val="74FF2584"/>
    <w:rsid w:val="750000AA"/>
    <w:rsid w:val="750C7987"/>
    <w:rsid w:val="750E6239"/>
    <w:rsid w:val="751224A6"/>
    <w:rsid w:val="75183646"/>
    <w:rsid w:val="751C1388"/>
    <w:rsid w:val="751D0C5C"/>
    <w:rsid w:val="751F49D4"/>
    <w:rsid w:val="75322959"/>
    <w:rsid w:val="75327179"/>
    <w:rsid w:val="753A35BC"/>
    <w:rsid w:val="7544268D"/>
    <w:rsid w:val="754B3A1B"/>
    <w:rsid w:val="754B57C9"/>
    <w:rsid w:val="754D1541"/>
    <w:rsid w:val="754D3A1B"/>
    <w:rsid w:val="754D7793"/>
    <w:rsid w:val="754E7067"/>
    <w:rsid w:val="75533AA2"/>
    <w:rsid w:val="75564CDF"/>
    <w:rsid w:val="755C4019"/>
    <w:rsid w:val="755C79D6"/>
    <w:rsid w:val="755F3023"/>
    <w:rsid w:val="75656DAA"/>
    <w:rsid w:val="75666069"/>
    <w:rsid w:val="75671ED7"/>
    <w:rsid w:val="75680129"/>
    <w:rsid w:val="75693EA1"/>
    <w:rsid w:val="756D1BE3"/>
    <w:rsid w:val="756E770A"/>
    <w:rsid w:val="757A4300"/>
    <w:rsid w:val="757F5473"/>
    <w:rsid w:val="75834F63"/>
    <w:rsid w:val="75884B36"/>
    <w:rsid w:val="758B3E18"/>
    <w:rsid w:val="759260CD"/>
    <w:rsid w:val="759654B8"/>
    <w:rsid w:val="759929D8"/>
    <w:rsid w:val="759A22AD"/>
    <w:rsid w:val="759E643F"/>
    <w:rsid w:val="75A60C51"/>
    <w:rsid w:val="75AA3119"/>
    <w:rsid w:val="75AB44BA"/>
    <w:rsid w:val="75AE7B06"/>
    <w:rsid w:val="75B07D22"/>
    <w:rsid w:val="75B275F6"/>
    <w:rsid w:val="75B55338"/>
    <w:rsid w:val="75BA64AB"/>
    <w:rsid w:val="75BE5F9B"/>
    <w:rsid w:val="75DC4056"/>
    <w:rsid w:val="75E73D34"/>
    <w:rsid w:val="75E74BF8"/>
    <w:rsid w:val="75ED4AD2"/>
    <w:rsid w:val="75EE4BD3"/>
    <w:rsid w:val="75F05AFA"/>
    <w:rsid w:val="75F06371"/>
    <w:rsid w:val="75F145C2"/>
    <w:rsid w:val="75F220E9"/>
    <w:rsid w:val="75F47C0F"/>
    <w:rsid w:val="75F53987"/>
    <w:rsid w:val="75F75951"/>
    <w:rsid w:val="75F776FF"/>
    <w:rsid w:val="75FE198A"/>
    <w:rsid w:val="75FF3AD1"/>
    <w:rsid w:val="760342F6"/>
    <w:rsid w:val="760F744C"/>
    <w:rsid w:val="7611709E"/>
    <w:rsid w:val="7614205F"/>
    <w:rsid w:val="76157B85"/>
    <w:rsid w:val="761A519B"/>
    <w:rsid w:val="761E4ABF"/>
    <w:rsid w:val="76200A04"/>
    <w:rsid w:val="762027B2"/>
    <w:rsid w:val="7625426C"/>
    <w:rsid w:val="762C4F8D"/>
    <w:rsid w:val="763146EA"/>
    <w:rsid w:val="76414336"/>
    <w:rsid w:val="76432269"/>
    <w:rsid w:val="764A782F"/>
    <w:rsid w:val="764B158B"/>
    <w:rsid w:val="76500BBD"/>
    <w:rsid w:val="765B7C8E"/>
    <w:rsid w:val="76613250"/>
    <w:rsid w:val="766823AB"/>
    <w:rsid w:val="766905FD"/>
    <w:rsid w:val="766F54E7"/>
    <w:rsid w:val="76780840"/>
    <w:rsid w:val="767B1E55"/>
    <w:rsid w:val="767D7C04"/>
    <w:rsid w:val="768369FF"/>
    <w:rsid w:val="768B22C3"/>
    <w:rsid w:val="768C42EB"/>
    <w:rsid w:val="769211D6"/>
    <w:rsid w:val="76966F18"/>
    <w:rsid w:val="76967512"/>
    <w:rsid w:val="769A4C1C"/>
    <w:rsid w:val="76A333E3"/>
    <w:rsid w:val="76AA651F"/>
    <w:rsid w:val="76AC2297"/>
    <w:rsid w:val="76AE2039"/>
    <w:rsid w:val="76B178AE"/>
    <w:rsid w:val="76B64EC4"/>
    <w:rsid w:val="76B850E0"/>
    <w:rsid w:val="76BB28DB"/>
    <w:rsid w:val="76BE0F8E"/>
    <w:rsid w:val="76C27D0D"/>
    <w:rsid w:val="76C56949"/>
    <w:rsid w:val="76DE441B"/>
    <w:rsid w:val="76E25CB9"/>
    <w:rsid w:val="76E47C83"/>
    <w:rsid w:val="76E97048"/>
    <w:rsid w:val="76F36118"/>
    <w:rsid w:val="76FD0D45"/>
    <w:rsid w:val="7706409E"/>
    <w:rsid w:val="770E2F52"/>
    <w:rsid w:val="771D3195"/>
    <w:rsid w:val="771D4F43"/>
    <w:rsid w:val="771F6F0D"/>
    <w:rsid w:val="772C162A"/>
    <w:rsid w:val="772C33D8"/>
    <w:rsid w:val="77311B44"/>
    <w:rsid w:val="7731279D"/>
    <w:rsid w:val="77332AA0"/>
    <w:rsid w:val="773C7ABF"/>
    <w:rsid w:val="77440722"/>
    <w:rsid w:val="7746449A"/>
    <w:rsid w:val="774921DC"/>
    <w:rsid w:val="774B6D57"/>
    <w:rsid w:val="774B7D02"/>
    <w:rsid w:val="774E334F"/>
    <w:rsid w:val="774E77F3"/>
    <w:rsid w:val="7750356B"/>
    <w:rsid w:val="77530965"/>
    <w:rsid w:val="77534E09"/>
    <w:rsid w:val="77585F7B"/>
    <w:rsid w:val="775A6197"/>
    <w:rsid w:val="77674410"/>
    <w:rsid w:val="776843DA"/>
    <w:rsid w:val="776C586E"/>
    <w:rsid w:val="776E39F1"/>
    <w:rsid w:val="776F42E7"/>
    <w:rsid w:val="7772528F"/>
    <w:rsid w:val="77737259"/>
    <w:rsid w:val="77770AF7"/>
    <w:rsid w:val="777728A5"/>
    <w:rsid w:val="77784870"/>
    <w:rsid w:val="777C7EBC"/>
    <w:rsid w:val="77822FF8"/>
    <w:rsid w:val="77862AE9"/>
    <w:rsid w:val="77903967"/>
    <w:rsid w:val="77935205"/>
    <w:rsid w:val="77962542"/>
    <w:rsid w:val="779A6594"/>
    <w:rsid w:val="779D6084"/>
    <w:rsid w:val="77A318EC"/>
    <w:rsid w:val="77A412B0"/>
    <w:rsid w:val="77B21B30"/>
    <w:rsid w:val="77B533CE"/>
    <w:rsid w:val="77B8776B"/>
    <w:rsid w:val="77BF249E"/>
    <w:rsid w:val="77C1298F"/>
    <w:rsid w:val="77CB50C8"/>
    <w:rsid w:val="77CD1357"/>
    <w:rsid w:val="77CD6969"/>
    <w:rsid w:val="77CE7524"/>
    <w:rsid w:val="77CF26E1"/>
    <w:rsid w:val="77D17A87"/>
    <w:rsid w:val="77D31AA6"/>
    <w:rsid w:val="77D777E8"/>
    <w:rsid w:val="77D870BC"/>
    <w:rsid w:val="77ED0DBA"/>
    <w:rsid w:val="77F65375"/>
    <w:rsid w:val="7803238B"/>
    <w:rsid w:val="78047EB1"/>
    <w:rsid w:val="78061E7B"/>
    <w:rsid w:val="780659D7"/>
    <w:rsid w:val="781258FD"/>
    <w:rsid w:val="78151CD1"/>
    <w:rsid w:val="781520BE"/>
    <w:rsid w:val="78177BE5"/>
    <w:rsid w:val="781C51FB"/>
    <w:rsid w:val="781E0018"/>
    <w:rsid w:val="781E2FBA"/>
    <w:rsid w:val="78283BA0"/>
    <w:rsid w:val="782D11B6"/>
    <w:rsid w:val="78340796"/>
    <w:rsid w:val="78395DAD"/>
    <w:rsid w:val="7839784B"/>
    <w:rsid w:val="7840538D"/>
    <w:rsid w:val="78434E7D"/>
    <w:rsid w:val="78463590"/>
    <w:rsid w:val="784D3606"/>
    <w:rsid w:val="784F3822"/>
    <w:rsid w:val="785030F6"/>
    <w:rsid w:val="78540E39"/>
    <w:rsid w:val="78554225"/>
    <w:rsid w:val="785D684A"/>
    <w:rsid w:val="7863107C"/>
    <w:rsid w:val="786372CE"/>
    <w:rsid w:val="787349EF"/>
    <w:rsid w:val="78745037"/>
    <w:rsid w:val="78746DE5"/>
    <w:rsid w:val="787E151D"/>
    <w:rsid w:val="787E7E0D"/>
    <w:rsid w:val="78807E39"/>
    <w:rsid w:val="78827754"/>
    <w:rsid w:val="78873930"/>
    <w:rsid w:val="788A485A"/>
    <w:rsid w:val="788C05D2"/>
    <w:rsid w:val="788F1E71"/>
    <w:rsid w:val="789021A1"/>
    <w:rsid w:val="78994A9D"/>
    <w:rsid w:val="789B0816"/>
    <w:rsid w:val="78A07BDA"/>
    <w:rsid w:val="78A14715"/>
    <w:rsid w:val="78A477E3"/>
    <w:rsid w:val="78A734CC"/>
    <w:rsid w:val="78A7540C"/>
    <w:rsid w:val="78AA2807"/>
    <w:rsid w:val="78AB7B6D"/>
    <w:rsid w:val="78AD22F7"/>
    <w:rsid w:val="78B10039"/>
    <w:rsid w:val="78B47B29"/>
    <w:rsid w:val="78B673FD"/>
    <w:rsid w:val="78BC253A"/>
    <w:rsid w:val="78C7785D"/>
    <w:rsid w:val="78DD2BDC"/>
    <w:rsid w:val="78E92E12"/>
    <w:rsid w:val="78EF0B61"/>
    <w:rsid w:val="78FB3062"/>
    <w:rsid w:val="78FC1C7D"/>
    <w:rsid w:val="78FD502C"/>
    <w:rsid w:val="78FF0F43"/>
    <w:rsid w:val="79053EE1"/>
    <w:rsid w:val="7908577F"/>
    <w:rsid w:val="79091C23"/>
    <w:rsid w:val="790E0FE8"/>
    <w:rsid w:val="790F6B0E"/>
    <w:rsid w:val="79226841"/>
    <w:rsid w:val="792702FB"/>
    <w:rsid w:val="792A3948"/>
    <w:rsid w:val="792C76C0"/>
    <w:rsid w:val="792D18AB"/>
    <w:rsid w:val="793622EC"/>
    <w:rsid w:val="793B5B55"/>
    <w:rsid w:val="793D41C6"/>
    <w:rsid w:val="793F7A76"/>
    <w:rsid w:val="794013BD"/>
    <w:rsid w:val="79437415"/>
    <w:rsid w:val="794964C4"/>
    <w:rsid w:val="794A3E22"/>
    <w:rsid w:val="794B3FEA"/>
    <w:rsid w:val="79621333"/>
    <w:rsid w:val="796926C2"/>
    <w:rsid w:val="796B468F"/>
    <w:rsid w:val="796E1A86"/>
    <w:rsid w:val="79817A0B"/>
    <w:rsid w:val="79825532"/>
    <w:rsid w:val="79863274"/>
    <w:rsid w:val="798E037A"/>
    <w:rsid w:val="798E3ED6"/>
    <w:rsid w:val="79927E6B"/>
    <w:rsid w:val="79992BCF"/>
    <w:rsid w:val="799A09A9"/>
    <w:rsid w:val="799A0ACD"/>
    <w:rsid w:val="799E680F"/>
    <w:rsid w:val="79A11E5C"/>
    <w:rsid w:val="79A2473D"/>
    <w:rsid w:val="79AE6327"/>
    <w:rsid w:val="79B24069"/>
    <w:rsid w:val="79B37DE1"/>
    <w:rsid w:val="79B778D1"/>
    <w:rsid w:val="79B853F7"/>
    <w:rsid w:val="79BC6C95"/>
    <w:rsid w:val="79C142AC"/>
    <w:rsid w:val="79C1605A"/>
    <w:rsid w:val="79CA518D"/>
    <w:rsid w:val="79D12015"/>
    <w:rsid w:val="79E85CDC"/>
    <w:rsid w:val="79E955B1"/>
    <w:rsid w:val="79ED4B6B"/>
    <w:rsid w:val="79EF201E"/>
    <w:rsid w:val="79F92431"/>
    <w:rsid w:val="79FA106A"/>
    <w:rsid w:val="7A046E78"/>
    <w:rsid w:val="7A060F1E"/>
    <w:rsid w:val="7A1C7734"/>
    <w:rsid w:val="7A1C7BE9"/>
    <w:rsid w:val="7A2860D9"/>
    <w:rsid w:val="7A3031E0"/>
    <w:rsid w:val="7A304F8E"/>
    <w:rsid w:val="7A3E76AA"/>
    <w:rsid w:val="7A3F3423"/>
    <w:rsid w:val="7A4D5B40"/>
    <w:rsid w:val="7A5377EA"/>
    <w:rsid w:val="7A552C46"/>
    <w:rsid w:val="7A5670C2"/>
    <w:rsid w:val="7A57076C"/>
    <w:rsid w:val="7A5926DA"/>
    <w:rsid w:val="7A5A025C"/>
    <w:rsid w:val="7A5C72A7"/>
    <w:rsid w:val="7A633CF1"/>
    <w:rsid w:val="7A690FFE"/>
    <w:rsid w:val="7A6A04A0"/>
    <w:rsid w:val="7A7031E0"/>
    <w:rsid w:val="7A7948AA"/>
    <w:rsid w:val="7A7C6425"/>
    <w:rsid w:val="7A813A3B"/>
    <w:rsid w:val="7A815FE3"/>
    <w:rsid w:val="7A8B6960"/>
    <w:rsid w:val="7A8D66EA"/>
    <w:rsid w:val="7A925C48"/>
    <w:rsid w:val="7A950625"/>
    <w:rsid w:val="7A990D85"/>
    <w:rsid w:val="7A9F7EE5"/>
    <w:rsid w:val="7AA37E55"/>
    <w:rsid w:val="7AA8721A"/>
    <w:rsid w:val="7AAA5FA3"/>
    <w:rsid w:val="7AAF1560"/>
    <w:rsid w:val="7AB32BE0"/>
    <w:rsid w:val="7AB83901"/>
    <w:rsid w:val="7AB94028"/>
    <w:rsid w:val="7ABE2599"/>
    <w:rsid w:val="7AC56C31"/>
    <w:rsid w:val="7ACA53E2"/>
    <w:rsid w:val="7ACC115A"/>
    <w:rsid w:val="7ACD1E40"/>
    <w:rsid w:val="7ACE4ED2"/>
    <w:rsid w:val="7AD27B3B"/>
    <w:rsid w:val="7AD87AFF"/>
    <w:rsid w:val="7AD93877"/>
    <w:rsid w:val="7ADC7B9B"/>
    <w:rsid w:val="7ADE0E8D"/>
    <w:rsid w:val="7AE2097E"/>
    <w:rsid w:val="7AE5221C"/>
    <w:rsid w:val="7AE82F61"/>
    <w:rsid w:val="7AEC5358"/>
    <w:rsid w:val="7AF1626C"/>
    <w:rsid w:val="7AF81F4F"/>
    <w:rsid w:val="7B000E04"/>
    <w:rsid w:val="7B0326A2"/>
    <w:rsid w:val="7B05221A"/>
    <w:rsid w:val="7B0A1C83"/>
    <w:rsid w:val="7B0F7299"/>
    <w:rsid w:val="7B11514A"/>
    <w:rsid w:val="7B136D89"/>
    <w:rsid w:val="7B152B01"/>
    <w:rsid w:val="7B172452"/>
    <w:rsid w:val="7B1813CA"/>
    <w:rsid w:val="7B21235B"/>
    <w:rsid w:val="7B2F16E9"/>
    <w:rsid w:val="7B2F5245"/>
    <w:rsid w:val="7B323B25"/>
    <w:rsid w:val="7B3A2CDF"/>
    <w:rsid w:val="7B42141C"/>
    <w:rsid w:val="7B4464CB"/>
    <w:rsid w:val="7B454B2B"/>
    <w:rsid w:val="7B4554D0"/>
    <w:rsid w:val="7B455BC8"/>
    <w:rsid w:val="7B4A02D1"/>
    <w:rsid w:val="7B4F58E7"/>
    <w:rsid w:val="7B4F6A66"/>
    <w:rsid w:val="7B5250FA"/>
    <w:rsid w:val="7B5573A2"/>
    <w:rsid w:val="7B59284D"/>
    <w:rsid w:val="7B5A49B8"/>
    <w:rsid w:val="7B5B603A"/>
    <w:rsid w:val="7B5F1FCE"/>
    <w:rsid w:val="7B62561B"/>
    <w:rsid w:val="7B656EB9"/>
    <w:rsid w:val="7B66335D"/>
    <w:rsid w:val="7B67277C"/>
    <w:rsid w:val="7B6A2721"/>
    <w:rsid w:val="7B6E3FBF"/>
    <w:rsid w:val="7B752AC1"/>
    <w:rsid w:val="7B771C06"/>
    <w:rsid w:val="7B7833CA"/>
    <w:rsid w:val="7B7C6624"/>
    <w:rsid w:val="7B7D06A6"/>
    <w:rsid w:val="7B8B5655"/>
    <w:rsid w:val="7B9A6B62"/>
    <w:rsid w:val="7B9D6653"/>
    <w:rsid w:val="7BA113EE"/>
    <w:rsid w:val="7BA43B28"/>
    <w:rsid w:val="7BAC4AE8"/>
    <w:rsid w:val="7BB0282A"/>
    <w:rsid w:val="7BB73BB8"/>
    <w:rsid w:val="7BB826BA"/>
    <w:rsid w:val="7BBC11CF"/>
    <w:rsid w:val="7BC843E7"/>
    <w:rsid w:val="7BD04C7A"/>
    <w:rsid w:val="7BD52290"/>
    <w:rsid w:val="7BD83B2F"/>
    <w:rsid w:val="7BD87FD6"/>
    <w:rsid w:val="7BDA3403"/>
    <w:rsid w:val="7BDC53CD"/>
    <w:rsid w:val="7BE73D72"/>
    <w:rsid w:val="7BE81FC4"/>
    <w:rsid w:val="7BF541E2"/>
    <w:rsid w:val="7BFC3B8D"/>
    <w:rsid w:val="7BFF0AD5"/>
    <w:rsid w:val="7C013085"/>
    <w:rsid w:val="7C025578"/>
    <w:rsid w:val="7C0641F8"/>
    <w:rsid w:val="7C08668B"/>
    <w:rsid w:val="7C0879AA"/>
    <w:rsid w:val="7C0B6494"/>
    <w:rsid w:val="7C0E1761"/>
    <w:rsid w:val="7C120DEF"/>
    <w:rsid w:val="7C16681D"/>
    <w:rsid w:val="7C174418"/>
    <w:rsid w:val="7C174657"/>
    <w:rsid w:val="7C2730B8"/>
    <w:rsid w:val="7C2D79D7"/>
    <w:rsid w:val="7C2E19A1"/>
    <w:rsid w:val="7C345209"/>
    <w:rsid w:val="7C3E7E36"/>
    <w:rsid w:val="7C43369E"/>
    <w:rsid w:val="7C442F72"/>
    <w:rsid w:val="7C482A62"/>
    <w:rsid w:val="7C4A1CE5"/>
    <w:rsid w:val="7C4E11E5"/>
    <w:rsid w:val="7C4F5F41"/>
    <w:rsid w:val="7C574A54"/>
    <w:rsid w:val="7C5A2796"/>
    <w:rsid w:val="7C5E2286"/>
    <w:rsid w:val="7C5F1B5A"/>
    <w:rsid w:val="7C6453C2"/>
    <w:rsid w:val="7C647378"/>
    <w:rsid w:val="7C684EB3"/>
    <w:rsid w:val="7C6B49A3"/>
    <w:rsid w:val="7C6D24C9"/>
    <w:rsid w:val="7C706666"/>
    <w:rsid w:val="7C7750F6"/>
    <w:rsid w:val="7C7F3FAA"/>
    <w:rsid w:val="7C8B294F"/>
    <w:rsid w:val="7C8F0BC0"/>
    <w:rsid w:val="7C9022C9"/>
    <w:rsid w:val="7C95557C"/>
    <w:rsid w:val="7C98391B"/>
    <w:rsid w:val="7C9C690A"/>
    <w:rsid w:val="7C9E08D4"/>
    <w:rsid w:val="7C9E2682"/>
    <w:rsid w:val="7CAF28C1"/>
    <w:rsid w:val="7CB00608"/>
    <w:rsid w:val="7CB77BE8"/>
    <w:rsid w:val="7CB93023"/>
    <w:rsid w:val="7CC3033B"/>
    <w:rsid w:val="7CCD11BA"/>
    <w:rsid w:val="7CCD4D16"/>
    <w:rsid w:val="7CCF4F32"/>
    <w:rsid w:val="7CD267D0"/>
    <w:rsid w:val="7CDB38D7"/>
    <w:rsid w:val="7CDC31AB"/>
    <w:rsid w:val="7CE21998"/>
    <w:rsid w:val="7CE331FC"/>
    <w:rsid w:val="7CE64029"/>
    <w:rsid w:val="7CEA1D6C"/>
    <w:rsid w:val="7CED360A"/>
    <w:rsid w:val="7CED61C1"/>
    <w:rsid w:val="7CED7166"/>
    <w:rsid w:val="7CEF2EDE"/>
    <w:rsid w:val="7CF84488"/>
    <w:rsid w:val="7CF93D5D"/>
    <w:rsid w:val="7CFB5D27"/>
    <w:rsid w:val="7CFC1270"/>
    <w:rsid w:val="7D0050EB"/>
    <w:rsid w:val="7D007775"/>
    <w:rsid w:val="7D0270B5"/>
    <w:rsid w:val="7D0D15B6"/>
    <w:rsid w:val="7D0D1CB9"/>
    <w:rsid w:val="7D100FEF"/>
    <w:rsid w:val="7D197F5B"/>
    <w:rsid w:val="7D2E5A5B"/>
    <w:rsid w:val="7D32101D"/>
    <w:rsid w:val="7D364FB1"/>
    <w:rsid w:val="7D3A2409"/>
    <w:rsid w:val="7D3E3E65"/>
    <w:rsid w:val="7D441CBC"/>
    <w:rsid w:val="7D453FFD"/>
    <w:rsid w:val="7D4623A8"/>
    <w:rsid w:val="7D496A0D"/>
    <w:rsid w:val="7D4C550D"/>
    <w:rsid w:val="7D4E157B"/>
    <w:rsid w:val="7D511DEB"/>
    <w:rsid w:val="7D5471E5"/>
    <w:rsid w:val="7D5477BD"/>
    <w:rsid w:val="7D5611AF"/>
    <w:rsid w:val="7D586CD5"/>
    <w:rsid w:val="7D6513F2"/>
    <w:rsid w:val="7D661446"/>
    <w:rsid w:val="7D6E10E2"/>
    <w:rsid w:val="7D755AD9"/>
    <w:rsid w:val="7D796C4C"/>
    <w:rsid w:val="7D7B0C16"/>
    <w:rsid w:val="7D7D673C"/>
    <w:rsid w:val="7D8201F6"/>
    <w:rsid w:val="7D821FA4"/>
    <w:rsid w:val="7D842AE0"/>
    <w:rsid w:val="7D876359"/>
    <w:rsid w:val="7D891584"/>
    <w:rsid w:val="7D8950E1"/>
    <w:rsid w:val="7D937D0D"/>
    <w:rsid w:val="7D9817C8"/>
    <w:rsid w:val="7D9A72EE"/>
    <w:rsid w:val="7DA0242A"/>
    <w:rsid w:val="7DA55C93"/>
    <w:rsid w:val="7DA64255"/>
    <w:rsid w:val="7DB06B11"/>
    <w:rsid w:val="7DB163E5"/>
    <w:rsid w:val="7DB3215D"/>
    <w:rsid w:val="7DB44FF6"/>
    <w:rsid w:val="7DB859C6"/>
    <w:rsid w:val="7DBC3708"/>
    <w:rsid w:val="7DBF4FA6"/>
    <w:rsid w:val="7DC12ACC"/>
    <w:rsid w:val="7DC223A1"/>
    <w:rsid w:val="7DC4436B"/>
    <w:rsid w:val="7DC97BD3"/>
    <w:rsid w:val="7DD02D0F"/>
    <w:rsid w:val="7DD722F0"/>
    <w:rsid w:val="7DE40569"/>
    <w:rsid w:val="7DE467BB"/>
    <w:rsid w:val="7DE95B7F"/>
    <w:rsid w:val="7DF34C50"/>
    <w:rsid w:val="7DF37B69"/>
    <w:rsid w:val="7DF52776"/>
    <w:rsid w:val="7DF764EE"/>
    <w:rsid w:val="7DF86912"/>
    <w:rsid w:val="7DFA7D8C"/>
    <w:rsid w:val="7DFC3B04"/>
    <w:rsid w:val="7DFD10C4"/>
    <w:rsid w:val="7E09024E"/>
    <w:rsid w:val="7E0B3D48"/>
    <w:rsid w:val="7E0E1A8A"/>
    <w:rsid w:val="7E0E6A8C"/>
    <w:rsid w:val="7E1A21DD"/>
    <w:rsid w:val="7E1E0B58"/>
    <w:rsid w:val="7E2B263C"/>
    <w:rsid w:val="7E310B05"/>
    <w:rsid w:val="7E357016"/>
    <w:rsid w:val="7E424159"/>
    <w:rsid w:val="7E434DF3"/>
    <w:rsid w:val="7E4436FD"/>
    <w:rsid w:val="7E447259"/>
    <w:rsid w:val="7E494870"/>
    <w:rsid w:val="7E4D25B2"/>
    <w:rsid w:val="7E5751DF"/>
    <w:rsid w:val="7E5F5E41"/>
    <w:rsid w:val="7E6D67B0"/>
    <w:rsid w:val="7E7044F2"/>
    <w:rsid w:val="7E725B75"/>
    <w:rsid w:val="7E8B3CD3"/>
    <w:rsid w:val="7E8D08E2"/>
    <w:rsid w:val="7E950CE7"/>
    <w:rsid w:val="7E9E4BBC"/>
    <w:rsid w:val="7EA40CFA"/>
    <w:rsid w:val="7EA90D5A"/>
    <w:rsid w:val="7EAB552B"/>
    <w:rsid w:val="7EAD3051"/>
    <w:rsid w:val="7EB048EF"/>
    <w:rsid w:val="7EB21FDA"/>
    <w:rsid w:val="7EB45671"/>
    <w:rsid w:val="7EB663A9"/>
    <w:rsid w:val="7EBE0DBA"/>
    <w:rsid w:val="7EC078D4"/>
    <w:rsid w:val="7EC62364"/>
    <w:rsid w:val="7EC87E8B"/>
    <w:rsid w:val="7ECA3C03"/>
    <w:rsid w:val="7ECD36F3"/>
    <w:rsid w:val="7ED607F9"/>
    <w:rsid w:val="7ED76320"/>
    <w:rsid w:val="7EDC1B88"/>
    <w:rsid w:val="7EE06F82"/>
    <w:rsid w:val="7EE97F4C"/>
    <w:rsid w:val="7EF2057B"/>
    <w:rsid w:val="7EF42A2E"/>
    <w:rsid w:val="7EF64A04"/>
    <w:rsid w:val="7EFB0260"/>
    <w:rsid w:val="7F0030A6"/>
    <w:rsid w:val="7F005876"/>
    <w:rsid w:val="7F0215EE"/>
    <w:rsid w:val="7F054C3B"/>
    <w:rsid w:val="7F080AB1"/>
    <w:rsid w:val="7F0B7D77"/>
    <w:rsid w:val="7F0F06E7"/>
    <w:rsid w:val="7F1D01D6"/>
    <w:rsid w:val="7F211349"/>
    <w:rsid w:val="7F2E23E3"/>
    <w:rsid w:val="7F3177DE"/>
    <w:rsid w:val="7F392B36"/>
    <w:rsid w:val="7F3948E4"/>
    <w:rsid w:val="7F3B065C"/>
    <w:rsid w:val="7F4339B5"/>
    <w:rsid w:val="7F477001"/>
    <w:rsid w:val="7F4F4108"/>
    <w:rsid w:val="7F511C2E"/>
    <w:rsid w:val="7F533BF8"/>
    <w:rsid w:val="7F54182C"/>
    <w:rsid w:val="7F544E27"/>
    <w:rsid w:val="7F565496"/>
    <w:rsid w:val="7F596D35"/>
    <w:rsid w:val="7F5B485B"/>
    <w:rsid w:val="7F5D4923"/>
    <w:rsid w:val="7F625BE9"/>
    <w:rsid w:val="7F651B7D"/>
    <w:rsid w:val="7F68347E"/>
    <w:rsid w:val="7F6C4CBA"/>
    <w:rsid w:val="7F765B38"/>
    <w:rsid w:val="7F7968F7"/>
    <w:rsid w:val="7F7B4EFD"/>
    <w:rsid w:val="7F7E49ED"/>
    <w:rsid w:val="7F7F5E47"/>
    <w:rsid w:val="7F800765"/>
    <w:rsid w:val="7F8042C1"/>
    <w:rsid w:val="7F8518D8"/>
    <w:rsid w:val="7F855D7C"/>
    <w:rsid w:val="7F871AF4"/>
    <w:rsid w:val="7F8C710A"/>
    <w:rsid w:val="7F961D37"/>
    <w:rsid w:val="7F983D01"/>
    <w:rsid w:val="7F991773"/>
    <w:rsid w:val="7FAF4BA7"/>
    <w:rsid w:val="7FB1091F"/>
    <w:rsid w:val="7FBA042D"/>
    <w:rsid w:val="7FC56EAA"/>
    <w:rsid w:val="7FEA0D19"/>
    <w:rsid w:val="7FEB2083"/>
    <w:rsid w:val="7FEC7BA9"/>
    <w:rsid w:val="7FF52F01"/>
    <w:rsid w:val="7FF627D5"/>
    <w:rsid w:val="7FF76C79"/>
    <w:rsid w:val="7FF81E76"/>
    <w:rsid w:val="7FFB603E"/>
    <w:rsid w:val="7FFD3B64"/>
    <w:rsid w:val="7FFE2C2E"/>
    <w:rsid w:val="7FFF5B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58"/>
    <w:qFormat/>
    <w:uiPriority w:val="9"/>
    <w:pPr>
      <w:keepNext/>
      <w:keepLines/>
      <w:spacing w:before="200" w:after="200" w:line="579" w:lineRule="auto"/>
      <w:jc w:val="center"/>
      <w:outlineLvl w:val="0"/>
    </w:pPr>
    <w:rPr>
      <w:b/>
      <w:bCs/>
      <w:kern w:val="44"/>
      <w:sz w:val="36"/>
      <w:szCs w:val="44"/>
    </w:rPr>
  </w:style>
  <w:style w:type="paragraph" w:styleId="3">
    <w:name w:val="heading 2"/>
    <w:basedOn w:val="1"/>
    <w:next w:val="1"/>
    <w:link w:val="59"/>
    <w:qFormat/>
    <w:uiPriority w:val="0"/>
    <w:pPr>
      <w:keepNext/>
      <w:keepLines/>
      <w:spacing w:before="260" w:after="260" w:line="416" w:lineRule="auto"/>
      <w:jc w:val="center"/>
      <w:outlineLvl w:val="1"/>
    </w:pPr>
    <w:rPr>
      <w:rFonts w:ascii="Arial" w:hAnsi="Arial" w:eastAsia="幼圆"/>
      <w:b/>
      <w:bCs/>
      <w:kern w:val="0"/>
      <w:sz w:val="44"/>
      <w:szCs w:val="44"/>
    </w:rPr>
  </w:style>
  <w:style w:type="paragraph" w:styleId="4">
    <w:name w:val="heading 3"/>
    <w:basedOn w:val="1"/>
    <w:next w:val="1"/>
    <w:qFormat/>
    <w:uiPriority w:val="9"/>
    <w:pPr>
      <w:keepNext/>
      <w:keepLines/>
      <w:spacing w:before="260" w:after="260" w:line="416" w:lineRule="auto"/>
      <w:outlineLvl w:val="2"/>
    </w:pPr>
    <w:rPr>
      <w:b/>
      <w:kern w:val="0"/>
      <w:sz w:val="32"/>
      <w:szCs w:val="20"/>
    </w:rPr>
  </w:style>
  <w:style w:type="paragraph" w:styleId="5">
    <w:name w:val="heading 4"/>
    <w:basedOn w:val="1"/>
    <w:next w:val="1"/>
    <w:qFormat/>
    <w:uiPriority w:val="9"/>
    <w:pPr>
      <w:spacing w:beforeLines="150" w:afterLines="150"/>
      <w:outlineLvl w:val="3"/>
    </w:pPr>
    <w:rPr>
      <w:rFonts w:ascii="宋体" w:hAnsi="宋体"/>
      <w:color w:val="000000"/>
      <w:sz w:val="24"/>
      <w:szCs w:val="28"/>
      <w:u w:val="single"/>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Normal Indent"/>
    <w:basedOn w:val="1"/>
    <w:link w:val="60"/>
    <w:qFormat/>
    <w:uiPriority w:val="0"/>
    <w:pPr>
      <w:ind w:firstLine="420"/>
    </w:pPr>
    <w:rPr>
      <w:kern w:val="0"/>
      <w:sz w:val="20"/>
      <w:szCs w:val="21"/>
    </w:rPr>
  </w:style>
  <w:style w:type="paragraph" w:styleId="8">
    <w:name w:val="Document Map"/>
    <w:basedOn w:val="1"/>
    <w:link w:val="61"/>
    <w:unhideWhenUsed/>
    <w:qFormat/>
    <w:uiPriority w:val="99"/>
    <w:rPr>
      <w:rFonts w:ascii="宋体"/>
      <w:sz w:val="18"/>
      <w:szCs w:val="18"/>
    </w:rPr>
  </w:style>
  <w:style w:type="paragraph" w:styleId="9">
    <w:name w:val="annotation text"/>
    <w:basedOn w:val="1"/>
    <w:link w:val="62"/>
    <w:unhideWhenUsed/>
    <w:qFormat/>
    <w:uiPriority w:val="99"/>
    <w:pPr>
      <w:jc w:val="left"/>
    </w:pPr>
  </w:style>
  <w:style w:type="paragraph" w:styleId="10">
    <w:name w:val="Body Text"/>
    <w:basedOn w:val="1"/>
    <w:unhideWhenUsed/>
    <w:qFormat/>
    <w:uiPriority w:val="99"/>
    <w:rPr>
      <w:rFonts w:ascii="楷体_GB2312" w:hAnsi="Arial" w:eastAsia="楷体_GB2312"/>
      <w:kern w:val="0"/>
      <w:sz w:val="28"/>
      <w:szCs w:val="28"/>
    </w:rPr>
  </w:style>
  <w:style w:type="paragraph" w:styleId="11">
    <w:name w:val="Body Text Indent"/>
    <w:basedOn w:val="1"/>
    <w:next w:val="12"/>
    <w:unhideWhenUsed/>
    <w:qFormat/>
    <w:uiPriority w:val="99"/>
    <w:pPr>
      <w:spacing w:line="400" w:lineRule="exact"/>
      <w:ind w:firstLine="540" w:firstLineChars="225"/>
    </w:pPr>
    <w:rPr>
      <w:sz w:val="24"/>
    </w:rPr>
  </w:style>
  <w:style w:type="paragraph" w:styleId="12">
    <w:name w:val="envelope return"/>
    <w:basedOn w:val="1"/>
    <w:unhideWhenUsed/>
    <w:qFormat/>
    <w:uiPriority w:val="99"/>
    <w:pPr>
      <w:snapToGrid w:val="0"/>
    </w:pPr>
    <w:rPr>
      <w:rFonts w:ascii="Arial" w:hAnsi="Arial"/>
    </w:rPr>
  </w:style>
  <w:style w:type="paragraph" w:styleId="13">
    <w:name w:val="List Bullet 2"/>
    <w:basedOn w:val="1"/>
    <w:unhideWhenUsed/>
    <w:qFormat/>
    <w:uiPriority w:val="99"/>
    <w:pPr>
      <w:numPr>
        <w:ilvl w:val="0"/>
        <w:numId w:val="1"/>
      </w:numPr>
    </w:pPr>
  </w:style>
  <w:style w:type="paragraph" w:styleId="14">
    <w:name w:val="Plain Text"/>
    <w:basedOn w:val="1"/>
    <w:link w:val="63"/>
    <w:qFormat/>
    <w:uiPriority w:val="0"/>
    <w:rPr>
      <w:rFonts w:ascii="宋体" w:hAnsi="Courier New"/>
      <w:kern w:val="0"/>
      <w:sz w:val="20"/>
      <w:szCs w:val="21"/>
    </w:rPr>
  </w:style>
  <w:style w:type="paragraph" w:styleId="15">
    <w:name w:val="toc 8"/>
    <w:basedOn w:val="1"/>
    <w:next w:val="1"/>
    <w:qFormat/>
    <w:uiPriority w:val="39"/>
    <w:pPr>
      <w:widowControl/>
      <w:overflowPunct w:val="0"/>
      <w:autoSpaceDE w:val="0"/>
      <w:autoSpaceDN w:val="0"/>
      <w:adjustRightInd w:val="0"/>
      <w:spacing w:line="360" w:lineRule="auto"/>
      <w:ind w:left="1960"/>
      <w:jc w:val="left"/>
      <w:textAlignment w:val="baseline"/>
    </w:pPr>
    <w:rPr>
      <w:kern w:val="0"/>
      <w:sz w:val="18"/>
      <w:szCs w:val="18"/>
    </w:rPr>
  </w:style>
  <w:style w:type="paragraph" w:styleId="16">
    <w:name w:val="Date"/>
    <w:basedOn w:val="1"/>
    <w:next w:val="1"/>
    <w:link w:val="64"/>
    <w:qFormat/>
    <w:uiPriority w:val="0"/>
    <w:rPr>
      <w:kern w:val="0"/>
      <w:sz w:val="24"/>
      <w:szCs w:val="20"/>
    </w:rPr>
  </w:style>
  <w:style w:type="paragraph" w:styleId="17">
    <w:name w:val="Body Text Indent 2"/>
    <w:basedOn w:val="1"/>
    <w:unhideWhenUsed/>
    <w:qFormat/>
    <w:uiPriority w:val="99"/>
    <w:pPr>
      <w:spacing w:line="520" w:lineRule="exact"/>
      <w:ind w:firstLine="510"/>
    </w:pPr>
    <w:rPr>
      <w:rFonts w:ascii="华文仿宋" w:eastAsia="华文仿宋"/>
      <w:sz w:val="28"/>
    </w:rPr>
  </w:style>
  <w:style w:type="paragraph" w:styleId="18">
    <w:name w:val="Balloon Text"/>
    <w:basedOn w:val="1"/>
    <w:link w:val="65"/>
    <w:unhideWhenUsed/>
    <w:qFormat/>
    <w:uiPriority w:val="99"/>
    <w:rPr>
      <w:kern w:val="0"/>
      <w:sz w:val="18"/>
      <w:szCs w:val="18"/>
    </w:rPr>
  </w:style>
  <w:style w:type="paragraph" w:styleId="19">
    <w:name w:val="footer"/>
    <w:basedOn w:val="1"/>
    <w:next w:val="1"/>
    <w:link w:val="66"/>
    <w:unhideWhenUsed/>
    <w:qFormat/>
    <w:uiPriority w:val="99"/>
    <w:pPr>
      <w:tabs>
        <w:tab w:val="center" w:pos="4153"/>
        <w:tab w:val="right" w:pos="8306"/>
      </w:tabs>
      <w:snapToGrid w:val="0"/>
      <w:jc w:val="left"/>
    </w:pPr>
    <w:rPr>
      <w:kern w:val="0"/>
      <w:sz w:val="18"/>
      <w:szCs w:val="18"/>
    </w:rPr>
  </w:style>
  <w:style w:type="paragraph" w:styleId="20">
    <w:name w:val="header"/>
    <w:basedOn w:val="1"/>
    <w:link w:val="6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unhideWhenUsed/>
    <w:qFormat/>
    <w:uiPriority w:val="39"/>
  </w:style>
  <w:style w:type="paragraph" w:styleId="22">
    <w:name w:val="toc 2"/>
    <w:basedOn w:val="1"/>
    <w:next w:val="1"/>
    <w:unhideWhenUsed/>
    <w:qFormat/>
    <w:uiPriority w:val="39"/>
    <w:pPr>
      <w:ind w:left="420" w:leftChars="200"/>
    </w:pPr>
  </w:style>
  <w:style w:type="paragraph" w:styleId="23">
    <w:name w:val="toc 9"/>
    <w:basedOn w:val="1"/>
    <w:next w:val="1"/>
    <w:qFormat/>
    <w:uiPriority w:val="0"/>
    <w:pPr>
      <w:ind w:left="3360" w:leftChars="1600"/>
    </w:pPr>
    <w:rPr>
      <w:rFonts w:ascii="Calibri" w:hAnsi="Calibri"/>
    </w:rPr>
  </w:style>
  <w:style w:type="paragraph" w:styleId="24">
    <w:name w:val="Body Text 2"/>
    <w:basedOn w:val="1"/>
    <w:qFormat/>
    <w:uiPriority w:val="0"/>
    <w:pPr>
      <w:spacing w:after="120" w:line="480" w:lineRule="auto"/>
    </w:pPr>
  </w:style>
  <w:style w:type="paragraph" w:styleId="2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next w:val="1"/>
    <w:qFormat/>
    <w:uiPriority w:val="0"/>
    <w:pPr>
      <w:tabs>
        <w:tab w:val="left" w:pos="709"/>
        <w:tab w:val="left" w:pos="975"/>
        <w:tab w:val="left" w:pos="1418"/>
        <w:tab w:val="left" w:pos="2126"/>
        <w:tab w:val="left" w:pos="2835"/>
        <w:tab w:val="left" w:pos="3544"/>
        <w:tab w:val="left" w:pos="4253"/>
        <w:tab w:val="left" w:pos="4961"/>
        <w:tab w:val="left" w:pos="5670"/>
      </w:tabs>
      <w:adjustRightInd w:val="0"/>
      <w:snapToGrid w:val="0"/>
      <w:jc w:val="left"/>
      <w:outlineLvl w:val="0"/>
    </w:pPr>
    <w:rPr>
      <w:b/>
      <w:sz w:val="24"/>
      <w:szCs w:val="20"/>
    </w:rPr>
  </w:style>
  <w:style w:type="paragraph" w:styleId="27">
    <w:name w:val="annotation subject"/>
    <w:basedOn w:val="9"/>
    <w:next w:val="9"/>
    <w:link w:val="68"/>
    <w:unhideWhenUsed/>
    <w:qFormat/>
    <w:uiPriority w:val="99"/>
    <w:rPr>
      <w:b/>
      <w:bCs/>
    </w:rPr>
  </w:style>
  <w:style w:type="paragraph" w:styleId="28">
    <w:name w:val="Body Text First Indent"/>
    <w:basedOn w:val="10"/>
    <w:qFormat/>
    <w:uiPriority w:val="0"/>
    <w:pPr>
      <w:spacing w:before="100" w:after="100" w:line="360" w:lineRule="atLeast"/>
      <w:ind w:firstLine="425"/>
      <w:textAlignment w:val="baseline"/>
    </w:pPr>
    <w:rPr>
      <w:rFonts w:ascii="Times New Roman" w:hAnsi="Times New Roman" w:eastAsia="宋体"/>
    </w:rPr>
  </w:style>
  <w:style w:type="paragraph" w:styleId="29">
    <w:name w:val="Body Text First Indent 2"/>
    <w:basedOn w:val="11"/>
    <w:unhideWhenUsed/>
    <w:qFormat/>
    <w:uiPriority w:val="99"/>
    <w:pPr>
      <w:ind w:firstLine="420" w:firstLineChars="200"/>
    </w:pPr>
  </w:style>
  <w:style w:type="table" w:styleId="31">
    <w:name w:val="Table Grid"/>
    <w:basedOn w:val="30"/>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22"/>
    <w:rPr>
      <w:b/>
    </w:rPr>
  </w:style>
  <w:style w:type="character" w:styleId="34">
    <w:name w:val="page number"/>
    <w:unhideWhenUsed/>
    <w:qFormat/>
    <w:uiPriority w:val="99"/>
  </w:style>
  <w:style w:type="character" w:styleId="35">
    <w:name w:val="FollowedHyperlink"/>
    <w:unhideWhenUsed/>
    <w:qFormat/>
    <w:uiPriority w:val="99"/>
    <w:rPr>
      <w:color w:val="338DE6"/>
      <w:u w:val="none"/>
    </w:rPr>
  </w:style>
  <w:style w:type="character" w:styleId="36">
    <w:name w:val="Emphasis"/>
    <w:qFormat/>
    <w:uiPriority w:val="20"/>
  </w:style>
  <w:style w:type="character" w:styleId="37">
    <w:name w:val="HTML Definition"/>
    <w:unhideWhenUsed/>
    <w:qFormat/>
    <w:uiPriority w:val="99"/>
  </w:style>
  <w:style w:type="character" w:styleId="38">
    <w:name w:val="HTML Variable"/>
    <w:unhideWhenUsed/>
    <w:qFormat/>
    <w:uiPriority w:val="99"/>
  </w:style>
  <w:style w:type="character" w:styleId="39">
    <w:name w:val="Hyperlink"/>
    <w:basedOn w:val="32"/>
    <w:unhideWhenUsed/>
    <w:qFormat/>
    <w:uiPriority w:val="99"/>
    <w:rPr>
      <w:color w:val="338DE6"/>
      <w:u w:val="none"/>
    </w:rPr>
  </w:style>
  <w:style w:type="character" w:styleId="40">
    <w:name w:val="HTML Code"/>
    <w:unhideWhenUsed/>
    <w:qFormat/>
    <w:uiPriority w:val="99"/>
    <w:rPr>
      <w:rFonts w:hint="default" w:ascii="serif" w:hAnsi="serif" w:eastAsia="serif" w:cs="serif"/>
      <w:sz w:val="21"/>
      <w:szCs w:val="21"/>
    </w:rPr>
  </w:style>
  <w:style w:type="character" w:styleId="41">
    <w:name w:val="annotation reference"/>
    <w:unhideWhenUsed/>
    <w:qFormat/>
    <w:uiPriority w:val="99"/>
    <w:rPr>
      <w:sz w:val="21"/>
      <w:szCs w:val="21"/>
    </w:rPr>
  </w:style>
  <w:style w:type="character" w:styleId="42">
    <w:name w:val="HTML Cite"/>
    <w:unhideWhenUsed/>
    <w:qFormat/>
    <w:uiPriority w:val="99"/>
  </w:style>
  <w:style w:type="character" w:styleId="43">
    <w:name w:val="HTML Keyboard"/>
    <w:unhideWhenUsed/>
    <w:qFormat/>
    <w:uiPriority w:val="99"/>
    <w:rPr>
      <w:rFonts w:ascii="serif" w:hAnsi="serif" w:eastAsia="serif" w:cs="serif"/>
      <w:sz w:val="21"/>
      <w:szCs w:val="21"/>
    </w:rPr>
  </w:style>
  <w:style w:type="character" w:styleId="44">
    <w:name w:val="HTML Sample"/>
    <w:unhideWhenUsed/>
    <w:qFormat/>
    <w:uiPriority w:val="99"/>
    <w:rPr>
      <w:rFonts w:hint="default" w:ascii="serif" w:hAnsi="serif" w:eastAsia="serif" w:cs="serif"/>
      <w:sz w:val="21"/>
      <w:szCs w:val="21"/>
    </w:rPr>
  </w:style>
  <w:style w:type="paragraph" w:customStyle="1" w:styleId="45">
    <w:name w:val="标题 31"/>
    <w:basedOn w:val="46"/>
    <w:next w:val="46"/>
    <w:qFormat/>
    <w:uiPriority w:val="99"/>
    <w:pPr>
      <w:keepNext/>
      <w:keepLines/>
      <w:spacing w:before="260" w:after="260" w:line="416" w:lineRule="auto"/>
      <w:outlineLvl w:val="2"/>
    </w:pPr>
    <w:rPr>
      <w:b/>
      <w:bCs/>
      <w:sz w:val="32"/>
      <w:szCs w:val="32"/>
    </w:rPr>
  </w:style>
  <w:style w:type="paragraph" w:customStyle="1" w:styleId="46">
    <w:name w:val="正文1"/>
    <w:basedOn w:val="1"/>
    <w:next w:val="47"/>
    <w:qFormat/>
    <w:uiPriority w:val="0"/>
    <w:pPr>
      <w:spacing w:before="156"/>
      <w:ind w:firstLine="510" w:firstLineChars="200"/>
    </w:pPr>
    <w:rPr>
      <w:szCs w:val="20"/>
    </w:rPr>
  </w:style>
  <w:style w:type="paragraph" w:customStyle="1" w:styleId="47">
    <w:name w:val="正文文本1"/>
    <w:basedOn w:val="46"/>
    <w:next w:val="48"/>
    <w:qFormat/>
    <w:uiPriority w:val="0"/>
    <w:pPr>
      <w:spacing w:after="120"/>
    </w:pPr>
    <w:rPr>
      <w:lang w:eastAsia="en-US"/>
    </w:rPr>
  </w:style>
  <w:style w:type="paragraph" w:customStyle="1" w:styleId="48">
    <w:name w:val="目录 21"/>
    <w:basedOn w:val="1"/>
    <w:next w:val="1"/>
    <w:qFormat/>
    <w:uiPriority w:val="39"/>
    <w:pPr>
      <w:ind w:left="210"/>
      <w:jc w:val="left"/>
    </w:pPr>
    <w:rPr>
      <w:smallCaps/>
      <w:szCs w:val="24"/>
    </w:rPr>
  </w:style>
  <w:style w:type="paragraph" w:customStyle="1" w:styleId="49">
    <w:name w:val="正文（缩进）"/>
    <w:basedOn w:val="50"/>
    <w:next w:val="51"/>
    <w:qFormat/>
    <w:uiPriority w:val="0"/>
    <w:pPr>
      <w:ind w:firstLine="480" w:firstLineChars="200"/>
    </w:pPr>
  </w:style>
  <w:style w:type="paragraph" w:customStyle="1" w:styleId="50">
    <w:name w:val="正文_2_0"/>
    <w:next w:val="4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Char Char Char Char Char Char Char Char Char"/>
    <w:basedOn w:val="1"/>
    <w:next w:val="52"/>
    <w:qFormat/>
    <w:uiPriority w:val="0"/>
    <w:pPr>
      <w:ind w:left="360" w:firstLine="5784"/>
    </w:pPr>
  </w:style>
  <w:style w:type="paragraph" w:customStyle="1" w:styleId="52">
    <w:name w:val="正文文本 21"/>
    <w:basedOn w:val="1"/>
    <w:next w:val="53"/>
    <w:qFormat/>
    <w:uiPriority w:val="0"/>
    <w:pPr>
      <w:widowControl/>
      <w:autoSpaceDE w:val="0"/>
      <w:autoSpaceDN w:val="0"/>
      <w:ind w:left="720" w:firstLine="5680"/>
    </w:pPr>
  </w:style>
  <w:style w:type="paragraph" w:customStyle="1" w:styleId="53">
    <w:name w:val="默认段落字体 Para Char Char Char Char Char Char Char"/>
    <w:basedOn w:val="1"/>
    <w:next w:val="54"/>
    <w:qFormat/>
    <w:uiPriority w:val="0"/>
    <w:pPr>
      <w:ind w:firstLine="200" w:firstLineChars="200"/>
    </w:pPr>
    <w:rPr>
      <w:rFonts w:cs="Arial"/>
    </w:rPr>
  </w:style>
  <w:style w:type="paragraph" w:customStyle="1" w:styleId="54">
    <w:name w:val="样式 首行缩进:  2 字符"/>
    <w:basedOn w:val="1"/>
    <w:next w:val="55"/>
    <w:qFormat/>
    <w:uiPriority w:val="0"/>
    <w:pPr>
      <w:spacing w:line="360" w:lineRule="auto"/>
      <w:ind w:left="480" w:firstLine="5856"/>
    </w:pPr>
  </w:style>
  <w:style w:type="paragraph" w:customStyle="1" w:styleId="55">
    <w:name w:val="样式 段后: 0.25 行"/>
    <w:basedOn w:val="1"/>
    <w:next w:val="56"/>
    <w:qFormat/>
    <w:uiPriority w:val="0"/>
    <w:pPr>
      <w:widowControl/>
      <w:spacing w:line="300" w:lineRule="auto"/>
      <w:ind w:left="420" w:firstLine="5796"/>
    </w:pPr>
  </w:style>
  <w:style w:type="paragraph" w:customStyle="1" w:styleId="56">
    <w:name w:val="正文 New New New New New New New New New New New New New New"/>
    <w:next w:val="23"/>
    <w:qFormat/>
    <w:uiPriority w:val="0"/>
    <w:pPr>
      <w:widowControl w:val="0"/>
      <w:ind w:firstLine="2048"/>
      <w:jc w:val="both"/>
    </w:pPr>
    <w:rPr>
      <w:rFonts w:ascii="Calibri" w:hAnsi="Calibri" w:eastAsia="宋体" w:cs="Times New Roman"/>
      <w:lang w:val="en-US" w:eastAsia="zh-CN" w:bidi="ar-SA"/>
    </w:rPr>
  </w:style>
  <w:style w:type="paragraph" w:customStyle="1" w:styleId="57">
    <w:name w:val="Char Char Char Char Char"/>
    <w:basedOn w:val="1"/>
    <w:next w:val="1"/>
    <w:qFormat/>
    <w:uiPriority w:val="0"/>
    <w:pPr>
      <w:ind w:firstLine="5632"/>
    </w:pPr>
  </w:style>
  <w:style w:type="character" w:customStyle="1" w:styleId="58">
    <w:name w:val="标题 1 Char"/>
    <w:link w:val="2"/>
    <w:qFormat/>
    <w:uiPriority w:val="9"/>
    <w:rPr>
      <w:rFonts w:ascii="Times New Roman" w:hAnsi="Times New Roman" w:eastAsia="宋体"/>
      <w:b/>
      <w:bCs/>
      <w:kern w:val="44"/>
      <w:sz w:val="36"/>
      <w:szCs w:val="44"/>
    </w:rPr>
  </w:style>
  <w:style w:type="character" w:customStyle="1" w:styleId="59">
    <w:name w:val="标题 2 Char"/>
    <w:link w:val="3"/>
    <w:qFormat/>
    <w:uiPriority w:val="0"/>
    <w:rPr>
      <w:rFonts w:ascii="Arial" w:hAnsi="Arial" w:eastAsia="幼圆" w:cs="Times New Roman"/>
      <w:b/>
      <w:bCs/>
      <w:sz w:val="44"/>
      <w:szCs w:val="44"/>
    </w:rPr>
  </w:style>
  <w:style w:type="character" w:customStyle="1" w:styleId="60">
    <w:name w:val="正文缩进 Char"/>
    <w:link w:val="7"/>
    <w:qFormat/>
    <w:uiPriority w:val="0"/>
    <w:rPr>
      <w:rFonts w:ascii="Times New Roman" w:hAnsi="Times New Roman" w:eastAsia="宋体" w:cs="Times New Roman"/>
      <w:szCs w:val="21"/>
    </w:rPr>
  </w:style>
  <w:style w:type="character" w:customStyle="1" w:styleId="61">
    <w:name w:val="文档结构图 Char"/>
    <w:link w:val="8"/>
    <w:semiHidden/>
    <w:qFormat/>
    <w:uiPriority w:val="99"/>
    <w:rPr>
      <w:rFonts w:ascii="宋体"/>
      <w:kern w:val="2"/>
      <w:sz w:val="18"/>
      <w:szCs w:val="18"/>
    </w:rPr>
  </w:style>
  <w:style w:type="character" w:customStyle="1" w:styleId="62">
    <w:name w:val="批注文字 Char"/>
    <w:link w:val="9"/>
    <w:qFormat/>
    <w:uiPriority w:val="99"/>
    <w:rPr>
      <w:kern w:val="2"/>
      <w:sz w:val="21"/>
      <w:szCs w:val="22"/>
    </w:rPr>
  </w:style>
  <w:style w:type="character" w:customStyle="1" w:styleId="63">
    <w:name w:val="纯文本 Char"/>
    <w:link w:val="14"/>
    <w:qFormat/>
    <w:uiPriority w:val="0"/>
    <w:rPr>
      <w:rFonts w:ascii="宋体" w:hAnsi="Courier New" w:eastAsia="宋体" w:cs="Times New Roman"/>
      <w:szCs w:val="21"/>
    </w:rPr>
  </w:style>
  <w:style w:type="character" w:customStyle="1" w:styleId="64">
    <w:name w:val="日期 Char"/>
    <w:link w:val="16"/>
    <w:qFormat/>
    <w:uiPriority w:val="0"/>
    <w:rPr>
      <w:rFonts w:ascii="Times New Roman" w:hAnsi="Times New Roman" w:eastAsia="宋体" w:cs="Times New Roman"/>
      <w:sz w:val="24"/>
      <w:szCs w:val="20"/>
    </w:rPr>
  </w:style>
  <w:style w:type="character" w:customStyle="1" w:styleId="65">
    <w:name w:val="批注框文本 Char"/>
    <w:link w:val="18"/>
    <w:semiHidden/>
    <w:qFormat/>
    <w:uiPriority w:val="99"/>
    <w:rPr>
      <w:sz w:val="18"/>
      <w:szCs w:val="18"/>
    </w:rPr>
  </w:style>
  <w:style w:type="character" w:customStyle="1" w:styleId="66">
    <w:name w:val="页脚 Char"/>
    <w:link w:val="19"/>
    <w:qFormat/>
    <w:uiPriority w:val="99"/>
    <w:rPr>
      <w:sz w:val="18"/>
      <w:szCs w:val="18"/>
    </w:rPr>
  </w:style>
  <w:style w:type="character" w:customStyle="1" w:styleId="67">
    <w:name w:val="页眉 Char"/>
    <w:link w:val="20"/>
    <w:qFormat/>
    <w:uiPriority w:val="99"/>
    <w:rPr>
      <w:sz w:val="18"/>
      <w:szCs w:val="18"/>
    </w:rPr>
  </w:style>
  <w:style w:type="character" w:customStyle="1" w:styleId="68">
    <w:name w:val="批注主题 Char"/>
    <w:link w:val="27"/>
    <w:qFormat/>
    <w:uiPriority w:val="0"/>
  </w:style>
  <w:style w:type="paragraph" w:customStyle="1" w:styleId="69">
    <w:name w:val="一级条标题"/>
    <w:basedOn w:val="70"/>
    <w:next w:val="71"/>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70">
    <w:name w:val="章标题"/>
    <w:next w:val="1"/>
    <w:qFormat/>
    <w:uiPriority w:val="0"/>
    <w:pPr>
      <w:tabs>
        <w:tab w:val="left" w:pos="810"/>
        <w:tab w:val="left" w:pos="1265"/>
      </w:tabs>
      <w:spacing w:before="50" w:after="50"/>
      <w:ind w:left="810" w:hanging="810"/>
      <w:jc w:val="both"/>
      <w:outlineLvl w:val="1"/>
    </w:pPr>
    <w:rPr>
      <w:rFonts w:ascii="黑体" w:hAnsi="Calibri" w:eastAsia="黑体" w:cs="Times New Roman"/>
      <w:sz w:val="21"/>
      <w:szCs w:val="22"/>
      <w:lang w:val="en-US" w:eastAsia="zh-CN" w:bidi="ar-SA"/>
    </w:rPr>
  </w:style>
  <w:style w:type="paragraph" w:customStyle="1" w:styleId="71">
    <w:name w:val="段"/>
    <w:basedOn w:val="46"/>
    <w:next w:val="1"/>
    <w:qFormat/>
    <w:uiPriority w:val="0"/>
    <w:pPr>
      <w:widowControl/>
      <w:ind w:firstLine="200"/>
    </w:pPr>
    <w:rPr>
      <w:rFonts w:ascii="宋体"/>
      <w:sz w:val="20"/>
    </w:rPr>
  </w:style>
  <w:style w:type="character" w:customStyle="1" w:styleId="72">
    <w:name w:val="要点1"/>
    <w:qFormat/>
    <w:uiPriority w:val="22"/>
    <w:rPr>
      <w:rFonts w:ascii="Times New Roman" w:hAnsi="Times New Roman" w:eastAsia="宋体" w:cs="Times New Roman"/>
      <w:kern w:val="2"/>
      <w:sz w:val="21"/>
      <w:szCs w:val="22"/>
      <w:lang w:val="en-US" w:eastAsia="zh-CN" w:bidi="ar-SA"/>
    </w:rPr>
  </w:style>
  <w:style w:type="paragraph" w:customStyle="1" w:styleId="73">
    <w:name w:val="正文文本11"/>
    <w:basedOn w:val="1"/>
    <w:next w:val="1"/>
    <w:qFormat/>
    <w:uiPriority w:val="0"/>
    <w:rPr>
      <w:rFonts w:ascii="楷体_GB2312" w:hAnsi="Arial" w:eastAsia="楷体_GB2312"/>
      <w:sz w:val="28"/>
      <w:szCs w:val="28"/>
    </w:rPr>
  </w:style>
  <w:style w:type="character" w:customStyle="1" w:styleId="74">
    <w:name w:val="fontstrikethrough"/>
    <w:qFormat/>
    <w:uiPriority w:val="0"/>
    <w:rPr>
      <w:strike/>
    </w:rPr>
  </w:style>
  <w:style w:type="character" w:customStyle="1" w:styleId="75">
    <w:name w:val="列出段落 Char"/>
    <w:link w:val="76"/>
    <w:qFormat/>
    <w:locked/>
    <w:uiPriority w:val="0"/>
    <w:rPr>
      <w:rFonts w:ascii="Calibri" w:hAnsi="Calibri" w:eastAsia="宋体" w:cs="Times New Roman"/>
      <w:kern w:val="0"/>
      <w:sz w:val="24"/>
      <w:szCs w:val="24"/>
      <w:lang w:eastAsia="en-US" w:bidi="en-US"/>
    </w:rPr>
  </w:style>
  <w:style w:type="paragraph" w:customStyle="1" w:styleId="76">
    <w:name w:val="列出段落1"/>
    <w:basedOn w:val="1"/>
    <w:link w:val="75"/>
    <w:qFormat/>
    <w:uiPriority w:val="0"/>
    <w:pPr>
      <w:widowControl/>
      <w:ind w:left="720"/>
      <w:contextualSpacing/>
      <w:jc w:val="left"/>
    </w:pPr>
    <w:rPr>
      <w:kern w:val="0"/>
      <w:sz w:val="24"/>
      <w:szCs w:val="24"/>
      <w:lang w:eastAsia="en-US" w:bidi="en-US"/>
    </w:rPr>
  </w:style>
  <w:style w:type="character" w:customStyle="1" w:styleId="77">
    <w:name w:val="fontborder"/>
    <w:qFormat/>
    <w:uiPriority w:val="0"/>
    <w:rPr>
      <w:bdr w:val="single" w:color="000000" w:sz="6" w:space="0"/>
    </w:rPr>
  </w:style>
  <w:style w:type="character" w:customStyle="1" w:styleId="78">
    <w:name w:val="NormalCharacter"/>
    <w:qFormat/>
    <w:uiPriority w:val="0"/>
    <w:rPr>
      <w:kern w:val="2"/>
      <w:sz w:val="21"/>
      <w:szCs w:val="22"/>
      <w:lang w:val="en-US" w:eastAsia="zh-CN" w:bidi="ar-SA"/>
    </w:rPr>
  </w:style>
  <w:style w:type="paragraph" w:customStyle="1" w:styleId="79">
    <w:name w:val="样式2"/>
    <w:basedOn w:val="1"/>
    <w:qFormat/>
    <w:uiPriority w:val="99"/>
    <w:pPr>
      <w:adjustRightInd w:val="0"/>
      <w:spacing w:line="410" w:lineRule="atLeast"/>
      <w:jc w:val="left"/>
    </w:pPr>
    <w:rPr>
      <w:rFonts w:ascii="宋体"/>
      <w:kern w:val="0"/>
      <w:sz w:val="24"/>
      <w:szCs w:val="20"/>
    </w:rPr>
  </w:style>
  <w:style w:type="paragraph" w:customStyle="1" w:styleId="80">
    <w:name w:val="正文 A"/>
    <w:next w:val="71"/>
    <w:qFormat/>
    <w:uiPriority w:val="0"/>
    <w:pPr>
      <w:framePr w:wrap="around" w:vAnchor="margin" w:hAnchor="text" w:yAlign="top"/>
      <w:widowControl w:val="0"/>
      <w:jc w:val="both"/>
    </w:pPr>
    <w:rPr>
      <w:rFonts w:ascii="Times New Roman" w:hAnsi="Times New Roman" w:eastAsia="Times New Roman" w:cs="Times New Roman"/>
      <w:color w:val="000000"/>
      <w:sz w:val="21"/>
      <w:szCs w:val="21"/>
      <w:lang w:val="en-US" w:eastAsia="zh-CN" w:bidi="ar-SA"/>
    </w:rPr>
  </w:style>
  <w:style w:type="paragraph" w:customStyle="1" w:styleId="81">
    <w:name w:val="Blockquote"/>
    <w:basedOn w:val="1"/>
    <w:qFormat/>
    <w:uiPriority w:val="0"/>
    <w:pPr>
      <w:autoSpaceDE w:val="0"/>
      <w:autoSpaceDN w:val="0"/>
      <w:adjustRightInd w:val="0"/>
      <w:snapToGrid w:val="0"/>
      <w:spacing w:before="100" w:after="100"/>
      <w:ind w:left="360" w:right="360"/>
      <w:jc w:val="left"/>
    </w:pPr>
    <w:rPr>
      <w:kern w:val="0"/>
      <w:sz w:val="24"/>
      <w:szCs w:val="21"/>
    </w:rPr>
  </w:style>
  <w:style w:type="paragraph" w:customStyle="1" w:styleId="82">
    <w:name w:val="普通文字"/>
    <w:basedOn w:val="1"/>
    <w:next w:val="1"/>
    <w:qFormat/>
    <w:uiPriority w:val="0"/>
    <w:rPr>
      <w:rFonts w:ascii="宋体"/>
      <w:kern w:val="0"/>
      <w:sz w:val="24"/>
      <w:szCs w:val="20"/>
    </w:rPr>
  </w:style>
  <w:style w:type="paragraph" w:customStyle="1" w:styleId="83">
    <w:name w:val="张勋节格式居中"/>
    <w:qFormat/>
    <w:uiPriority w:val="99"/>
    <w:pPr>
      <w:adjustRightInd w:val="0"/>
      <w:snapToGrid w:val="0"/>
      <w:spacing w:before="100" w:beforeAutospacing="1" w:after="100" w:afterAutospacing="1" w:line="360" w:lineRule="exact"/>
      <w:ind w:firstLine="480"/>
      <w:jc w:val="center"/>
      <w:textAlignment w:val="center"/>
    </w:pPr>
    <w:rPr>
      <w:rFonts w:ascii="宋体" w:hAnsi="Times New Roman" w:eastAsia="宋体" w:cs="宋体"/>
      <w:b/>
      <w:kern w:val="2"/>
      <w:sz w:val="28"/>
      <w:szCs w:val="28"/>
      <w:lang w:val="zh-CN" w:eastAsia="zh-CN" w:bidi="ar-SA"/>
    </w:rPr>
  </w:style>
  <w:style w:type="paragraph" w:customStyle="1" w:styleId="84">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纯文本1"/>
    <w:basedOn w:val="1"/>
    <w:qFormat/>
    <w:uiPriority w:val="0"/>
    <w:pPr>
      <w:adjustRightInd w:val="0"/>
      <w:textAlignment w:val="baseline"/>
    </w:pPr>
    <w:rPr>
      <w:rFonts w:ascii="宋体" w:hAnsi="Courier New" w:eastAsia="楷体_GB2312"/>
      <w:sz w:val="28"/>
      <w:szCs w:val="20"/>
    </w:rPr>
  </w:style>
  <w:style w:type="paragraph" w:styleId="86">
    <w:name w:val="List Paragraph"/>
    <w:basedOn w:val="1"/>
    <w:qFormat/>
    <w:uiPriority w:val="0"/>
    <w:pPr>
      <w:ind w:firstLine="420" w:firstLineChars="200"/>
    </w:pPr>
    <w:rPr>
      <w:rFonts w:eastAsia="楷体_GB2312"/>
      <w:sz w:val="26"/>
      <w:szCs w:val="20"/>
    </w:rPr>
  </w:style>
  <w:style w:type="paragraph" w:customStyle="1" w:styleId="87">
    <w:name w:val="_Style 82"/>
    <w:unhideWhenUsed/>
    <w:qFormat/>
    <w:uiPriority w:val="99"/>
    <w:rPr>
      <w:rFonts w:ascii="Times New Roman" w:hAnsi="Times New Roman" w:eastAsia="宋体" w:cs="Times New Roman"/>
      <w:kern w:val="2"/>
      <w:sz w:val="21"/>
      <w:szCs w:val="22"/>
      <w:lang w:val="en-US" w:eastAsia="zh-CN" w:bidi="ar-SA"/>
    </w:rPr>
  </w:style>
  <w:style w:type="paragraph" w:customStyle="1" w:styleId="88">
    <w:name w:val="正文 1.1.1"/>
    <w:basedOn w:val="1"/>
    <w:next w:val="1"/>
    <w:qFormat/>
    <w:uiPriority w:val="0"/>
    <w:pPr>
      <w:numPr>
        <w:ilvl w:val="2"/>
        <w:numId w:val="2"/>
      </w:numPr>
      <w:outlineLvl w:val="2"/>
    </w:pPr>
    <w:rPr>
      <w:rFonts w:hAnsi="宋体"/>
      <w:color w:val="FF0000"/>
    </w:rPr>
  </w:style>
  <w:style w:type="paragraph" w:customStyle="1" w:styleId="89">
    <w:name w:val="Table Paragraph"/>
    <w:basedOn w:val="1"/>
    <w:qFormat/>
    <w:uiPriority w:val="1"/>
    <w:pPr>
      <w:autoSpaceDE w:val="0"/>
      <w:autoSpaceDN w:val="0"/>
      <w:jc w:val="left"/>
    </w:pPr>
    <w:rPr>
      <w:rFonts w:ascii="宋体" w:hAnsi="宋体" w:cs="宋体"/>
      <w:kern w:val="0"/>
      <w:sz w:val="22"/>
      <w:lang w:val="zh-CN" w:bidi="zh-CN"/>
    </w:rPr>
  </w:style>
  <w:style w:type="paragraph" w:customStyle="1" w:styleId="90">
    <w:name w:val="p0"/>
    <w:basedOn w:val="1"/>
    <w:qFormat/>
    <w:uiPriority w:val="0"/>
    <w:pPr>
      <w:widowControl/>
    </w:pPr>
  </w:style>
  <w:style w:type="paragraph" w:customStyle="1" w:styleId="91">
    <w:name w:val="Char"/>
    <w:basedOn w:val="1"/>
    <w:qFormat/>
    <w:uiPriority w:val="0"/>
    <w:pPr>
      <w:tabs>
        <w:tab w:val="left" w:pos="360"/>
      </w:tabs>
      <w:ind w:firstLine="200" w:firstLineChars="200"/>
    </w:pPr>
    <w:rPr>
      <w:sz w:val="28"/>
      <w:szCs w:val="30"/>
    </w:rPr>
  </w:style>
  <w:style w:type="paragraph" w:customStyle="1" w:styleId="92">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93">
    <w:name w:val="正文空2格  1."/>
    <w:basedOn w:val="1"/>
    <w:qFormat/>
    <w:uiPriority w:val="0"/>
    <w:pPr>
      <w:ind w:firstLine="480" w:firstLineChars="200"/>
    </w:pPr>
    <w:rPr>
      <w:rFonts w:cs="宋体"/>
      <w:sz w:val="28"/>
      <w:szCs w:val="20"/>
    </w:rPr>
  </w:style>
  <w:style w:type="paragraph" w:customStyle="1" w:styleId="94">
    <w:name w:val="正文 1.1"/>
    <w:basedOn w:val="1"/>
    <w:next w:val="88"/>
    <w:qFormat/>
    <w:uiPriority w:val="0"/>
    <w:pPr>
      <w:numPr>
        <w:ilvl w:val="1"/>
        <w:numId w:val="2"/>
      </w:numPr>
      <w:ind w:firstLine="550"/>
      <w:outlineLvl w:val="1"/>
    </w:pPr>
    <w:rPr>
      <w:rFonts w:ascii="仿宋" w:hAnsi="仿宋"/>
      <w:b/>
    </w:rPr>
  </w:style>
  <w:style w:type="paragraph" w:customStyle="1" w:styleId="95">
    <w:name w:val="正文_0_0"/>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96">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98">
    <w:name w:val="正文文本缩进11"/>
    <w:basedOn w:val="1"/>
    <w:next w:val="1"/>
    <w:unhideWhenUsed/>
    <w:qFormat/>
    <w:uiPriority w:val="99"/>
    <w:pPr>
      <w:spacing w:line="400" w:lineRule="exact"/>
      <w:ind w:firstLine="540"/>
    </w:pPr>
    <w:rPr>
      <w:sz w:val="24"/>
    </w:rPr>
  </w:style>
  <w:style w:type="paragraph" w:customStyle="1" w:styleId="99">
    <w:name w:val="Default"/>
    <w:qFormat/>
    <w:uiPriority w:val="99"/>
    <w:pPr>
      <w:widowControl w:val="0"/>
      <w:autoSpaceDE w:val="0"/>
      <w:autoSpaceDN w:val="0"/>
      <w:adjustRightInd w:val="0"/>
    </w:pPr>
    <w:rPr>
      <w:rFonts w:ascii="宋体" w:hAnsi="Times New Roman" w:eastAsia="宋体" w:cs="宋体"/>
      <w:color w:val="000000"/>
      <w:kern w:val="2"/>
      <w:sz w:val="24"/>
      <w:szCs w:val="24"/>
      <w:lang w:val="en-US" w:eastAsia="zh-CN" w:bidi="ar-SA"/>
    </w:rPr>
  </w:style>
  <w:style w:type="paragraph" w:customStyle="1" w:styleId="100">
    <w:name w:val="大标题"/>
    <w:basedOn w:val="26"/>
    <w:next w:val="29"/>
    <w:qFormat/>
    <w:uiPriority w:val="0"/>
    <w:pPr>
      <w:spacing w:line="360" w:lineRule="auto"/>
      <w:ind w:firstLine="200"/>
    </w:pPr>
    <w:rPr>
      <w:rFonts w:ascii="宋体" w:hAnsi="宋体"/>
    </w:rPr>
  </w:style>
  <w:style w:type="paragraph" w:customStyle="1" w:styleId="101">
    <w:name w:val="正文文本 211"/>
    <w:basedOn w:val="1"/>
    <w:qFormat/>
    <w:uiPriority w:val="99"/>
    <w:pPr>
      <w:tabs>
        <w:tab w:val="left" w:pos="0"/>
        <w:tab w:val="left" w:pos="993"/>
        <w:tab w:val="left" w:pos="1134"/>
      </w:tabs>
      <w:spacing w:line="240" w:lineRule="exact"/>
    </w:pPr>
    <w:rPr>
      <w:rFonts w:ascii="楷体_GB2312" w:hAnsi="Calibri" w:eastAsia="楷体_GB2312"/>
      <w:sz w:val="18"/>
    </w:rPr>
  </w:style>
  <w:style w:type="paragraph" w:customStyle="1" w:styleId="102">
    <w:name w:val="标题 21"/>
    <w:basedOn w:val="1"/>
    <w:next w:val="103"/>
    <w:qFormat/>
    <w:uiPriority w:val="99"/>
    <w:pPr>
      <w:keepNext/>
      <w:keepLines/>
      <w:spacing w:before="260" w:after="260" w:line="413" w:lineRule="auto"/>
      <w:outlineLvl w:val="1"/>
    </w:pPr>
    <w:rPr>
      <w:rFonts w:ascii="Arial" w:hAnsi="Arial" w:eastAsia="黑体"/>
      <w:b/>
      <w:sz w:val="32"/>
      <w:szCs w:val="20"/>
    </w:rPr>
  </w:style>
  <w:style w:type="paragraph" w:customStyle="1" w:styleId="103">
    <w:name w:val="正文缩进1"/>
    <w:basedOn w:val="1"/>
    <w:qFormat/>
    <w:uiPriority w:val="0"/>
    <w:pPr>
      <w:ind w:firstLine="420"/>
    </w:pPr>
    <w:rPr>
      <w:sz w:val="20"/>
      <w:szCs w:val="21"/>
    </w:rPr>
  </w:style>
  <w:style w:type="paragraph" w:customStyle="1" w:styleId="104">
    <w:name w:val="普通(网站)1"/>
    <w:basedOn w:val="1"/>
    <w:unhideWhenUsed/>
    <w:qFormat/>
    <w:uiPriority w:val="99"/>
    <w:pPr>
      <w:widowControl/>
      <w:spacing w:before="100" w:beforeAutospacing="1" w:after="100" w:afterAutospacing="1"/>
      <w:jc w:val="left"/>
    </w:pPr>
    <w:rPr>
      <w:rFonts w:ascii="宋体" w:hAnsi="宋体"/>
      <w:sz w:val="24"/>
      <w:szCs w:val="24"/>
    </w:rPr>
  </w:style>
  <w:style w:type="paragraph" w:customStyle="1" w:styleId="105">
    <w:name w:val="纯文本111"/>
    <w:basedOn w:val="1"/>
    <w:next w:val="57"/>
    <w:qFormat/>
    <w:uiPriority w:val="99"/>
    <w:rPr>
      <w:rFonts w:ascii="宋体" w:hAnsi="Courier New"/>
      <w:szCs w:val="20"/>
    </w:rPr>
  </w:style>
  <w:style w:type="paragraph" w:customStyle="1" w:styleId="106">
    <w:name w:val="正文_2"/>
    <w:qFormat/>
    <w:uiPriority w:val="0"/>
    <w:rPr>
      <w:rFonts w:ascii="Times New Roman" w:hAnsi="Times New Roman" w:eastAsia="宋体" w:cs="Times New Roman"/>
      <w:lang w:val="en-US" w:eastAsia="zh-CN" w:bidi="ar-SA"/>
    </w:rPr>
  </w:style>
  <w:style w:type="paragraph" w:customStyle="1" w:styleId="107">
    <w:name w:val="正文_0_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08">
    <w:name w:val="正文12"/>
    <w:qFormat/>
    <w:uiPriority w:val="99"/>
    <w:pPr>
      <w:widowControl w:val="0"/>
      <w:jc w:val="both"/>
    </w:pPr>
    <w:rPr>
      <w:rFonts w:ascii="Times New Roman" w:hAnsi="Times New Roman" w:eastAsia="Times New Roman" w:cs="Times New Roman"/>
      <w:lang w:val="en-US" w:eastAsia="zh-CN" w:bidi="ar-SA"/>
    </w:rPr>
  </w:style>
  <w:style w:type="paragraph" w:customStyle="1" w:styleId="109">
    <w:name w:val="正文2"/>
    <w:qFormat/>
    <w:uiPriority w:val="0"/>
    <w:rPr>
      <w:rFonts w:ascii="Times New Roman" w:hAnsi="Times New Roman" w:eastAsia="宋体" w:cs="Times New Roman"/>
      <w:sz w:val="24"/>
      <w:szCs w:val="24"/>
      <w:lang w:val="en-US" w:eastAsia="zh-CN" w:bidi="ar-SA"/>
    </w:rPr>
  </w:style>
  <w:style w:type="paragraph" w:customStyle="1" w:styleId="110">
    <w:name w:val="正文_0_0_0"/>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11">
    <w:name w:val="BodyText1"/>
    <w:basedOn w:val="1"/>
    <w:qFormat/>
    <w:uiPriority w:val="0"/>
    <w:rPr>
      <w:rFonts w:ascii="楷体_GB2312" w:hAnsi="Arial" w:eastAsia="楷体_GB2312"/>
      <w:sz w:val="28"/>
      <w:szCs w:val="28"/>
    </w:rPr>
  </w:style>
  <w:style w:type="paragraph" w:customStyle="1" w:styleId="112">
    <w:name w:val="纯文本11"/>
    <w:basedOn w:val="46"/>
    <w:qFormat/>
    <w:uiPriority w:val="0"/>
    <w:rPr>
      <w:rFonts w:ascii="宋体" w:hAnsi="Courier New"/>
      <w:sz w:val="20"/>
      <w:szCs w:val="21"/>
    </w:rPr>
  </w:style>
  <w:style w:type="table" w:customStyle="1" w:styleId="113">
    <w:name w:val="Table Normal"/>
    <w:unhideWhenUsed/>
    <w:qFormat/>
    <w:uiPriority w:val="0"/>
    <w:tblPr>
      <w:tblCellMar>
        <w:top w:w="0" w:type="dxa"/>
        <w:left w:w="0" w:type="dxa"/>
        <w:bottom w:w="0" w:type="dxa"/>
        <w:right w:w="0" w:type="dxa"/>
      </w:tblCellMar>
    </w:tblPr>
  </w:style>
  <w:style w:type="paragraph" w:customStyle="1" w:styleId="114">
    <w:name w:val="日期1"/>
    <w:basedOn w:val="46"/>
    <w:next w:val="1"/>
    <w:qFormat/>
    <w:uiPriority w:val="99"/>
    <w:rPr>
      <w:rFonts w:ascii="Calibri" w:hAnsi="Calibri" w:eastAsia="仿宋_GB2312"/>
      <w:sz w:val="30"/>
    </w:rPr>
  </w:style>
  <w:style w:type="character" w:customStyle="1" w:styleId="115">
    <w:name w:val="htd0"/>
    <w:qFormat/>
    <w:uiPriority w:val="0"/>
  </w:style>
  <w:style w:type="paragraph" w:customStyle="1" w:styleId="116">
    <w:name w:val="正文_0_0_0_0"/>
    <w:qFormat/>
    <w:uiPriority w:val="0"/>
    <w:pPr>
      <w:widowControl w:val="0"/>
      <w:jc w:val="both"/>
    </w:pPr>
    <w:rPr>
      <w:rFonts w:ascii="Times New Roman" w:hAnsi="Times New Roman" w:eastAsia="宋体" w:cs="Times New Roman"/>
      <w:lang w:val="en-US" w:eastAsia="zh-CN" w:bidi="ar-SA"/>
    </w:rPr>
  </w:style>
  <w:style w:type="paragraph" w:customStyle="1" w:styleId="117">
    <w:name w:val="列出段落2"/>
    <w:basedOn w:val="1"/>
    <w:qFormat/>
    <w:uiPriority w:val="0"/>
    <w:pPr>
      <w:ind w:firstLine="420"/>
    </w:pPr>
    <w:rPr>
      <w:rFonts w:eastAsia="楷体_GB2312"/>
      <w:sz w:val="26"/>
      <w:szCs w:val="20"/>
    </w:rPr>
  </w:style>
  <w:style w:type="paragraph" w:customStyle="1" w:styleId="118">
    <w:name w:val="正文文本缩进1"/>
    <w:basedOn w:val="1"/>
    <w:unhideWhenUsed/>
    <w:qFormat/>
    <w:uiPriority w:val="99"/>
    <w:pPr>
      <w:spacing w:line="400" w:lineRule="exact"/>
      <w:ind w:firstLine="540"/>
    </w:pPr>
    <w:rPr>
      <w:sz w:val="24"/>
    </w:rPr>
  </w:style>
  <w:style w:type="paragraph" w:customStyle="1" w:styleId="119">
    <w:name w:val="修订1"/>
    <w:hidden/>
    <w:unhideWhenUsed/>
    <w:qFormat/>
    <w:uiPriority w:val="99"/>
    <w:rPr>
      <w:rFonts w:ascii="Times New Roman" w:hAnsi="Times New Roman" w:eastAsia="宋体" w:cs="Times New Roman"/>
      <w:kern w:val="2"/>
      <w:sz w:val="21"/>
      <w:szCs w:val="22"/>
      <w:lang w:val="en-US" w:eastAsia="zh-CN" w:bidi="ar-SA"/>
    </w:rPr>
  </w:style>
  <w:style w:type="paragraph" w:customStyle="1" w:styleId="120">
    <w:name w:val="首行缩进"/>
    <w:basedOn w:val="1"/>
    <w:qFormat/>
    <w:uiPriority w:val="0"/>
    <w:pPr>
      <w:spacing w:line="360" w:lineRule="auto"/>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c8c2159f-99c6-4374-a31e-e94d28caad03</errorID>
      <errorWord>(</errorWord>
      <group>L1_Format</group>
      <groupName>格式问题</groupName>
      <ability>L2_HalfPunc_CN</ability>
      <abilityName/>
      <candidateList>
        <item>（</item>
      </candidateList>
      <explain>文本全半角错误。</explain>
      <paraID>69A9C696</paraID>
      <start>47</start>
      <end>48</end>
      <status>modified</status>
      <modifiedWord>（</modifiedWord>
      <trackRevisions>false</trackRevisions>
    </reviewItem>
    <reviewItem>
      <errorID>991255bd-1270-4138-bd6e-7ff6f6493a2d</errorID>
      <errorWord>/，</errorWord>
      <group>L1_Punc</group>
      <groupName>标点问题</groupName>
      <ability>L2_Punc_CN</ability>
      <abilityName/>
      <candidateList>
        <item>/</item>
      </candidateList>
      <explain/>
      <paraID>7C745900</paraID>
      <start>101</start>
      <end>102</end>
      <status>modified</status>
      <modifiedWord>/</modifiedWord>
      <trackRevisions>false</trackRevisions>
    </reviewItem>
    <reviewItem>
      <errorID>2b2db71e-26c2-404d-a72c-243cd9fc4a71</errorID>
      <errorWord>日至2026年</errorWord>
      <group>L1_Word</group>
      <groupName>字词问题</groupName>
      <ability>L2_Typo</ability>
      <abilityName>字词错误</abilityName>
      <candidateList>
        <item>日起至2026年</item>
      </candidateList>
      <explain/>
      <paraID>4D881277</paraID>
      <start>10</start>
      <end>18</end>
      <status>modified</status>
      <modifiedWord>日起至2026年</modifiedWord>
      <trackRevisions>false</trackRevisions>
    </reviewItem>
    <reviewItem>
      <errorID>43048311-dfed-4f4b-be5f-e9c6d8fb16a6</errorID>
      <errorWord>楚</errorWord>
      <group>L1_Word</group>
      <groupName>字词问题</groupName>
      <ability>L2_Typo</ability>
      <abilityName>字词错误</abilityName>
      <candidateList>
        <item>楚地</item>
      </candidateList>
      <explain/>
      <paraID> 52D4E5C</paraID>
      <start>148</start>
      <end>150</end>
      <status>modified</status>
      <modifiedWord>楚地</modifiedWord>
      <trackRevisions>false</trackRevisions>
    </reviewItem>
    <reviewItem>
      <errorID>2b4a8dc8-f9fe-4516-9f47-c11b2583bd04</errorID>
      <errorWord>《</errorWord>
      <group>L1_Punc</group>
      <groupName>标点问题</groupName>
      <ability>L2_Punc_CN</ability>
      <abilityName/>
      <candidateList/>
      <explain>同一形式括号套用。</explain>
      <paraID>3F91D942</paraID>
      <start>37</start>
      <end>38</end>
      <status>unmodified</status>
      <modifiedWord/>
      <trackRevisions>false</trackRevisions>
    </reviewItem>
    <reviewItem>
      <errorID>74a675db-f042-4024-b112-c78c3f6590d0</errorID>
      <errorWord>》</errorWord>
      <group>L1_Punc</group>
      <groupName>标点问题</groupName>
      <ability>L2_Punc_CN</ability>
      <abilityName/>
      <candidateList/>
      <explain>同一形式括号套用。</explain>
      <paraID>3F91D942</paraID>
      <start>54</start>
      <end>55</end>
      <status>unmodified</status>
      <modifiedWord/>
      <trackRevisions>false</trackRevisions>
    </reviewItem>
    <reviewItem>
      <errorID>f8fb3a15-b7c8-4031-9087-f52ba8502d95</errorID>
      <errorWord>《</errorWord>
      <group>L1_Punc</group>
      <groupName>标点问题</groupName>
      <ability>L2_Punc_CN</ability>
      <abilityName/>
      <candidateList/>
      <explain>同一形式括号套用。</explain>
      <paraID>3F91D942</paraID>
      <start>55</start>
      <end>56</end>
      <status>unmodified</status>
      <modifiedWord/>
      <trackRevisions>false</trackRevisions>
    </reviewItem>
    <reviewItem>
      <errorID>9f614c8d-1c24-49a5-8126-45f74e2a3f28</errorID>
      <errorWord>》</errorWord>
      <group>L1_Punc</group>
      <groupName>标点问题</groupName>
      <ability>L2_Punc_CN</ability>
      <abilityName/>
      <candidateList/>
      <explain>同一形式括号套用。</explain>
      <paraID>3F91D942</paraID>
      <start>72</start>
      <end>73</end>
      <status>unmodified</status>
      <modifiedWord/>
      <trackRevisions>false</trackRevisions>
    </reviewItem>
    <reviewItem>
      <errorID>1bfcfe69-ff8c-43f9-82e5-e014a1332d58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408DD1BD</paraID>
      <start>0</start>
      <end>2</end>
      <status>modified</status>
      <modifiedWord>1.</modifiedWord>
      <trackRevisions>false</trackRevisions>
    </reviewItem>
    <reviewItem>
      <errorID>965930ad-8e40-4f86-b958-492beca77d97</errorID>
      <errorWord>用</errorWord>
      <group>L1_Word</group>
      <groupName>字词问题</groupName>
      <ability>L2_Typo</ability>
      <abilityName>字词错误</abilityName>
      <candidateList>
        <item>用于</item>
      </candidateList>
      <explain/>
      <paraID>47A438F0</paraID>
      <start>24</start>
      <end>26</end>
      <status>modified</status>
      <modifiedWord>用于</modifiedWord>
      <trackRevisions>false</trackRevisions>
    </reviewItem>
    <reviewItem>
      <errorID>66f77472-b9b6-4866-9d71-4bf5d353b4aa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ED7A351</paraID>
      <start>0</start>
      <end>2</end>
      <status>modified</status>
      <modifiedWord>2.</modifiedWord>
      <trackRevisions>false</trackRevisions>
    </reviewItem>
    <reviewItem>
      <errorID>e025716f-e933-4b0a-929a-18219c7029ed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2744F0D9</paraID>
      <start>0</start>
      <end>2</end>
      <status>modified</status>
      <modifiedWord>3.</modifiedWord>
      <trackRevisions>false</trackRevisions>
    </reviewItem>
    <reviewItem>
      <errorID>dde4a848-e497-4e3a-8f5d-805d55f3101f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4FF28872</paraID>
      <start>0</start>
      <end>2</end>
      <status>modified</status>
      <modifiedWord>4.</modifiedWord>
      <trackRevisions>false</trackRevisions>
    </reviewItem>
    <reviewItem>
      <errorID>6b721736-3432-4092-80b3-3881897d4079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5ED75F4B</paraID>
      <start>0</start>
      <end>2</end>
      <status>modified</status>
      <modifiedWord>5.</modifiedWord>
      <trackRevisions>false</trackRevisions>
    </reviewItem>
    <reviewItem>
      <errorID>3b658b76-7470-4b63-8f67-8e4fbdc0f308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38ADF737</paraID>
      <start>0</start>
      <end>2</end>
      <status>modified</status>
      <modifiedWord>6.</modifiedWord>
      <trackRevisions>false</trackRevisions>
    </reviewItem>
    <reviewItem>
      <errorID>5061cf98-9083-469d-8da4-dae99506dd16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6CF7674D</paraID>
      <start>0</start>
      <end>2</end>
      <status>modified</status>
      <modifiedWord>7.</modifiedWord>
      <trackRevisions>false</trackRevisions>
    </reviewItem>
    <reviewItem>
      <errorID>c28c30e2-7495-4b20-b8f3-fffcea31d614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584E5CE8</paraID>
      <start>0</start>
      <end>2</end>
      <status>modified</status>
      <modifiedWord>2.</modifiedWord>
      <trackRevisions>false</trackRevisions>
    </reviewItem>
    <reviewItem>
      <errorID>31ef4978-34f8-4e1b-ab53-59439b356f44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3E9946E2</paraID>
      <start>0</start>
      <end>2</end>
      <status>modified</status>
      <modifiedWord>3.</modifiedWord>
      <trackRevisions>false</trackRevisions>
    </reviewItem>
    <reviewItem>
      <errorID>82f24096-d51e-4087-8201-d891b4556026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4F924FA4</paraID>
      <start>0</start>
      <end>2</end>
      <status>modified</status>
      <modifiedWord>4.</modifiedWord>
      <trackRevisions>false</trackRevisions>
    </reviewItem>
    <reviewItem>
      <errorID>07698768-57f2-490e-a384-7463422e21e2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1ABADB4E</paraID>
      <start>0</start>
      <end>2</end>
      <status>modified</status>
      <modifiedWord>5.</modifiedWord>
      <trackRevisions>false</trackRevisions>
    </reviewItem>
    <reviewItem>
      <errorID>bef3b6f9-2bb8-4202-aeec-91be54cdb203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24F0B3C3</paraID>
      <start>0</start>
      <end>2</end>
      <status>modified</status>
      <modifiedWord>6.</modifiedWord>
      <trackRevisions>false</trackRevisions>
    </reviewItem>
    <reviewItem>
      <errorID>339f9c88-4394-4224-be86-b37a19186731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7AB9770E</paraID>
      <start>0</start>
      <end>2</end>
      <status>modified</status>
      <modifiedWord>2.</modifiedWord>
      <trackRevisions>false</trackRevisions>
    </reviewItem>
    <reviewItem>
      <errorID>244c71bb-ef1e-4a6d-b8a1-686b69781b0c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10C3D645</paraID>
      <start>0</start>
      <end>2</end>
      <status>modified</status>
      <modifiedWord>3.</modifiedWord>
      <trackRevisions>false</trackRevisions>
    </reviewItem>
    <reviewItem>
      <errorID>a58038ea-9505-4811-878e-9fab774581b6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CEDE700</paraID>
      <start>0</start>
      <end>2</end>
      <status>modified</status>
      <modifiedWord>4.</modifiedWord>
      <trackRevisions>false</trackRevisions>
    </reviewItem>
    <reviewItem>
      <errorID>46f5d330-6cee-4883-92fa-d1e7a3585fcc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262234CF</paraID>
      <start>0</start>
      <end>2</end>
      <status>modified</status>
      <modifiedWord>5.</modifiedWord>
      <trackRevisions>false</trackRevisions>
    </reviewItem>
    <reviewItem>
      <errorID>dd88412a-77d0-43ac-8079-417c5a007ef1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6ABCC30D</paraID>
      <start>0</start>
      <end>2</end>
      <status>modified</status>
      <modifiedWord>2.</modifiedWord>
      <trackRevisions>false</trackRevisions>
    </reviewItem>
    <reviewItem>
      <errorID>bf733f58-0df5-421c-9b7d-a9c88416bcb0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58DD1880</paraID>
      <start>0</start>
      <end>2</end>
      <status>modified</status>
      <modifiedWord>3.</modifiedWord>
      <trackRevisions>false</trackRevisions>
    </reviewItem>
    <reviewItem>
      <errorID>c4e2c40c-c6b9-483e-a2d7-8829d3da287c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5C9D3E74</paraID>
      <start>0</start>
      <end>2</end>
      <status>modified</status>
      <modifiedWord>4.</modifiedWord>
      <trackRevisions>false</trackRevisions>
    </reviewItem>
    <reviewItem>
      <errorID>aed5dd6f-9068-4a89-9677-1234f642eab1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28C5A39A</paraID>
      <start>0</start>
      <end>2</end>
      <status>modified</status>
      <modifiedWord>5.</modifiedWord>
      <trackRevisions>false</trackRevisions>
    </reviewItem>
    <reviewItem>
      <errorID>7234ffb8-c174-48af-aa65-ae1cb3e8cee5</errorID>
      <errorWord>法律、法规</errorWord>
      <group>L1_Word</group>
      <groupName>字词问题</groupName>
      <ability>L2_Typo</ability>
      <abilityName>字词错误</abilityName>
      <candidateList>
        <item>法律法规</item>
      </candidateList>
      <explain/>
      <paraID>303C32C5</paraID>
      <start>6</start>
      <end>10</end>
      <status>modified</status>
      <modifiedWord>法律法规</modifiedWord>
      <trackRevisions>false</trackRevisions>
    </reviewItem>
    <reviewItem>
      <errorID>663a04a3-79f1-4194-a48f-aa9cd3cfe994</errorID>
      <errorWord>法律、法规</errorWord>
      <group>L1_Word</group>
      <groupName>字词问题</groupName>
      <ability>L2_Typo</ability>
      <abilityName>字词错误</abilityName>
      <candidateList>
        <item>法律法规</item>
      </candidateList>
      <explain/>
      <paraID>47A2B62C</paraID>
      <start>5</start>
      <end>9</end>
      <status>modified</status>
      <modifiedWord>法律法规</modifiedWord>
      <trackRevisions>false</trackRevisions>
    </reviewItem>
    <reviewItem>
      <errorID>f50bf556-81df-44de-beee-56d6f2716d7d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63893565</paraID>
      <start>0</start>
      <end>2</end>
      <status>modified</status>
      <modifiedWord>6.</modifiedWord>
      <trackRevisions>false</trackRevisions>
    </reviewItem>
    <reviewItem>
      <errorID>392a4555-7f6d-4d33-aff7-065d0b21e010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4EB96828</paraID>
      <start>0</start>
      <end>2</end>
      <status>modified</status>
      <modifiedWord>7.</modifiedWord>
      <trackRevisions>false</trackRevisions>
    </reviewItem>
    <reviewItem>
      <errorID>960e2275-fb05-41ba-94df-9c9bd3adcdc8</errorID>
      <errorWord>人确定成交供应商</errorWord>
      <group>L1_Word</group>
      <groupName>字词问题</groupName>
      <ability>L2_Typo</ability>
      <abilityName>字词错误</abilityName>
      <candidateList>
        <item>人在确定成交供应商</item>
      </candidateList>
      <explain/>
      <paraID>60F73547</paraID>
      <start>30</start>
      <end>39</end>
      <status>modified</status>
      <modifiedWord>人在确定成交供应商</modifiedWord>
      <trackRevisions>false</trackRevisions>
    </reviewItem>
    <reviewItem>
      <errorID>69b081b9-c0fc-44b6-a219-09a4b38f3085</errorID>
      <errorWord>法律、法规</errorWord>
      <group>L1_Word</group>
      <groupName>字词问题</groupName>
      <ability>L2_Typo</ability>
      <abilityName>字词错误</abilityName>
      <candidateList>
        <item>法律法规</item>
      </candidateList>
      <explain/>
      <paraID>543E6EA6</paraID>
      <start>3</start>
      <end>7</end>
      <status>modified</status>
      <modifiedWord>法律法规</modifiedWord>
      <trackRevisions>false</trackRevisions>
    </reviewItem>
    <reviewItem>
      <errorID>5baee149-775f-4286-8c69-5b5058b8add4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584E7250</paraID>
      <start>0</start>
      <end>2</end>
      <status>modified</status>
      <modifiedWord>2.</modifiedWord>
      <trackRevisions>false</trackRevisions>
    </reviewItem>
    <reviewItem>
      <errorID>529ffa43-319c-4ba8-bf5d-9e6019989885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6C674BFD</paraID>
      <start>53</start>
      <end>55</end>
      <status>modified</status>
      <modifiedWord>》《</modifiedWord>
      <trackRevisions>false</trackRevisions>
    </reviewItem>
    <reviewItem>
      <errorID>162b6c36-e1e0-4bee-8a26-1857cbd2dfc1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5C839429</paraID>
      <start>0</start>
      <end>2</end>
      <status>modified</status>
      <modifiedWord>2.</modifiedWord>
      <trackRevisions>false</trackRevisions>
    </reviewItem>
    <reviewItem>
      <errorID>2c7449da-0c74-40a6-8a59-6da05f4ebbce</errorID>
      <errorWord>，</errorWord>
      <group>L1_Word</group>
      <groupName>字词问题</groupName>
      <ability>L2_Typo</ability>
      <abilityName>字词错误</abilityName>
      <candidateList>
        <item>，支</item>
      </candidateList>
      <explain/>
      <paraID>575240D6</paraID>
      <start>41</start>
      <end>43</end>
      <status>modified</status>
      <modifiedWord>，支</modifiedWord>
      <trackRevisions>false</trackRevisions>
    </reviewItem>
    <reviewItem>
      <errorID>93d09aaf-6916-4884-b202-d997d186fb31</errorID>
      <errorWord>法律、法规</errorWord>
      <group>L1_Word</group>
      <groupName>字词问题</groupName>
      <ability>L2_Typo</ability>
      <abilityName>字词错误</abilityName>
      <candidateList>
        <item>法律法规</item>
      </candidateList>
      <explain/>
      <paraID> 49F3E14</paraID>
      <start>5</start>
      <end>9</end>
      <status>modified</status>
      <modifiedWord>法律法规</modifiedWord>
      <trackRevisions>false</trackRevisions>
    </reviewItem>
    <reviewItem>
      <errorID>1629043e-30e3-45ac-b25f-901f8db08adc</errorID>
      <errorWord>，</errorWord>
      <group>L1_Word</group>
      <groupName>字词问题</groupName>
      <ability>L2_Typo</ability>
      <abilityName>字词错误</abilityName>
      <candidateList>
        <item>，支</item>
      </candidateList>
      <explain/>
      <paraID>6102EC56</paraID>
      <start>42</start>
      <end>44</end>
      <status>modified</status>
      <modifiedWord>，支</modifiedWord>
      <trackRevisions>false</trackRevisions>
    </reviewItem>
    <reviewItem>
      <errorID>41f687fd-9971-4c34-a753-9616d7d4580f</errorID>
      <errorWord>〈</errorWord>
      <group>L1_Punc</group>
      <groupName>标点问题</groupName>
      <ability>L2_Punc_CN</ability>
      <abilityName/>
      <candidateList/>
      <explain>此处标点可能未正确匹配，请检查句子中是否存在标点冗余、缺失或使用错误的情况。</explain>
      <paraID>7EAA72AA</paraID>
      <start>49</start>
      <end>50</end>
      <status>unmodified</status>
      <modifiedWord/>
      <trackRevisions>false</trackRevisions>
    </reviewItem>
    <reviewItem>
      <errorID>6f53b831-d528-4a49-a8d5-b18370b023e6</errorID>
      <errorWord>〈</errorWord>
      <group>L1_Punc</group>
      <groupName>标点问题</groupName>
      <ability>L2_Punc_CN</ability>
      <abilityName/>
      <candidateList/>
      <explain>此处标点可能未正确匹配，请检查句子中是否存在标点冗余、缺失或使用错误的情况。</explain>
      <paraID> 8751010</paraID>
      <start>49</start>
      <end>50</end>
      <status>unmodified</status>
      <modifiedWord/>
      <trackRevisions>false</trackRevisions>
    </reviewItem>
    <reviewItem>
      <errorID>cc51c004-5a5b-48af-8471-1c1ae310026a</errorID>
      <errorWord>〈</errorWord>
      <group>L1_Punc</group>
      <groupName>标点问题</groupName>
      <ability>L2_Punc_CN</ability>
      <abilityName/>
      <candidateList/>
      <explain>此处标点可能未正确匹配，请检查句子中是否存在标点冗余、缺失或使用错误的情况。</explain>
      <paraID>3BC5EF37</paraID>
      <start>34</start>
      <end>35</end>
      <status>unmodified</status>
      <modifiedWord/>
      <trackRevisions>false</trackRevisions>
    </reviewItem>
    <reviewItem>
      <errorID>684c7fb3-716a-4fd0-b8de-0c242f472ac7</errorID>
      <errorWord>，</errorWord>
      <group>L1_Word</group>
      <groupName>字词问题</groupName>
      <ability>L2_Typo</ability>
      <abilityName>字词错误</abilityName>
      <candidateList>
        <item>，并</item>
      </candidateList>
      <explain/>
      <paraID>50EFC879</paraID>
      <start>71</start>
      <end>73</end>
      <status>modified</status>
      <modifiedWord>，并</modifiedWord>
      <trackRevisions>false</trackRevisions>
    </reviewItem>
    <reviewItem>
      <errorID>cc06d03f-1979-4560-8b93-94e55e034d2f</errorID>
      <errorWord>(</errorWord>
      <group>L1_Format</group>
      <groupName>格式问题</groupName>
      <ability>L2_HalfPunc_CN</ability>
      <abilityName/>
      <candidateList>
        <item>（</item>
      </candidateList>
      <explain>文本全半角错误。</explain>
      <paraID>5DCD34F8</paraID>
      <start>47</start>
      <end>48</end>
      <status>modified</status>
      <modifiedWord>（</modifiedWord>
      <trackRevisions>false</trackRevisions>
    </reviewItem>
    <reviewItem>
      <errorID>84551ebc-b438-484f-98ff-93cce1df598e</errorID>
      <errorWord>/，</errorWord>
      <group>L1_Punc</group>
      <groupName>标点问题</groupName>
      <ability>L2_Punc_CN</ability>
      <abilityName/>
      <candidateList>
        <item>/</item>
      </candidateList>
      <explain/>
      <paraID>76881392</paraID>
      <start>101</start>
      <end>102</end>
      <status>modified</status>
      <modifiedWord>/</modifiedWord>
      <trackRevisions>false</trackRevisions>
    </reviewItem>
    <reviewItem>
      <errorID>8b3ed2f2-e485-464f-a794-f56b64ddbfdd</errorID>
      <errorWord>：。</errorWord>
      <group>L1_Punc</group>
      <groupName>标点问题</groupName>
      <ability>L2_Punc_CN</ability>
      <abilityName/>
      <candidateList>
        <item>：</item>
      </candidateList>
      <explain/>
      <paraID>29CFCA13</paraID>
      <start>5</start>
      <end>6</end>
      <status>modified</status>
      <modifiedWord>：</modifiedWord>
      <trackRevisions>false</trackRevisions>
    </reviewItem>
    <reviewItem>
      <errorID>15afd6b3-a55e-4e72-ad31-4f8d85aff220</errorID>
      <errorWord>：。</errorWord>
      <group>L1_Punc</group>
      <groupName>标点问题</groupName>
      <ability>L2_Punc_CN</ability>
      <abilityName/>
      <candidateList>
        <item>：</item>
      </candidateList>
      <explain/>
      <paraID>79F459D5</paraID>
      <start>9</start>
      <end>10</end>
      <status>modified</status>
      <modifiedWord>：</modifiedWord>
      <trackRevisions>false</trackRevisions>
    </reviewItem>
    <reviewItem>
      <errorID>159590f5-464e-465a-bb20-ff920feb3c83</errorID>
      <errorWord>法律、法规</errorWord>
      <group>L1_Word</group>
      <groupName>字词问题</groupName>
      <ability>L2_Typo</ability>
      <abilityName>字词错误</abilityName>
      <candidateList>
        <item>法律法规</item>
      </candidateList>
      <explain/>
      <paraID>486194B8</paraID>
      <start>8</start>
      <end>12</end>
      <status>modified</status>
      <modifiedWord>法律法规</modifiedWord>
      <trackRevisions>false</trackRevisions>
    </reviewItem>
    <reviewItem>
      <errorID>1b5d9339-439b-4325-8cbf-7f62f1739eff</errorID>
      <errorWord>;</errorWord>
      <group>L1_Format</group>
      <groupName>格式问题</groupName>
      <ability>L2_HalfPunc_CN</ability>
      <abilityName/>
      <candidateList>
        <item>；</item>
      </candidateList>
      <explain>文本全半角错误。</explain>
      <paraID>486194B8</paraID>
      <start>73</start>
      <end>74</end>
      <status>modified</status>
      <modifiedWord>；</modifiedWord>
      <trackRevisions>false</trackRevisions>
    </reviewItem>
    <reviewItem>
      <errorID>3ec1ef67-4cc9-494d-a59a-bdf68adb9328</errorID>
      <errorWord>间</errorWord>
      <group>L1_Word</group>
      <groupName>字词问题</groupName>
      <ability>L2_Typo</ability>
      <abilityName>字词错误</abilityName>
      <candidateList>
        <item>间内</item>
      </candidateList>
      <explain/>
      <paraID> 9499F83</paraID>
      <start>47</start>
      <end>49</end>
      <status>modified</status>
      <modifiedWord>间内</modifiedWord>
      <trackRevisions>false</trackRevisions>
    </reviewItem>
    <reviewItem>
      <errorID>8e4eecfd-bed4-415f-9969-9900345b1a85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5F5C9C1B</paraID>
      <start>0</start>
      <end>2</end>
      <status>modified</status>
      <modifiedWord>2.</modifiedWord>
      <trackRevisions>false</trackRevisions>
    </reviewItem>
    <reviewItem>
      <errorID>92831ac7-8cb4-47fa-a7aa-d88cdfebb9f3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6FA4657</paraID>
      <start>0</start>
      <end>2</end>
      <status>modified</status>
      <modifiedWord>3.</modifiedWord>
      <trackRevisions>false</trackRevisions>
    </reviewItem>
    <reviewItem>
      <errorID>40f42167-5a04-4b74-8344-f13ee544f8eb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25C1D1C3</paraID>
      <start>0</start>
      <end>2</end>
      <status>modified</status>
      <modifiedWord>4.</modifiedWord>
      <trackRevisions>false</trackRevisions>
    </reviewItem>
    <reviewItem>
      <errorID>1d257f3d-1ea1-4530-95a4-34d89e7434f2</errorID>
      <errorWord>-</errorWord>
      <group>L1_Format</group>
      <groupName>格式问题</groupName>
      <ability>L2_HalfPunc_CN</ability>
      <abilityName/>
      <candidateList>
        <item>－</item>
      </candidateList>
      <explain>文本全半角错误。</explain>
      <paraID>1749E961</paraID>
      <start>14</start>
      <end>15</end>
      <status>modified</status>
      <modifiedWord>－</modifiedWord>
      <trackRevisions>false</trackRevisions>
    </reviewItem>
    <reviewItem>
      <errorID>950d7202-d3ae-4c1f-bd91-256c0f3985d9</errorID>
      <errorWord>-</errorWord>
      <group>L1_Format</group>
      <groupName>格式问题</groupName>
      <ability>L2_HalfPunc_CN</ability>
      <abilityName/>
      <candidateList>
        <item>－</item>
      </candidateList>
      <explain>文本全半角错误。</explain>
      <paraID> 375F7A0</paraID>
      <start>14</start>
      <end>15</end>
      <status>modified</status>
      <modifiedWord>－</modifiedWord>
      <trackRevisions>false</trackRevisions>
    </reviewItem>
    <reviewItem>
      <errorID>23179367-6e00-4a72-80ab-e9687cd64014</errorID>
      <errorWord>-</errorWord>
      <group>L1_Format</group>
      <groupName>格式问题</groupName>
      <ability>L2_HalfPunc_CN</ability>
      <abilityName/>
      <candidateList>
        <item>－</item>
      </candidateList>
      <explain>文本全半角错误。</explain>
      <paraID>23A8CE1C</paraID>
      <start>8</start>
      <end>9</end>
      <status>modified</status>
      <modifiedWord>－</modifiedWord>
      <trackRevisions>false</trackRevisions>
    </reviewItem>
    <reviewItem>
      <errorID>529476f3-b260-48c5-aa50-94525d5e617c</errorID>
      <errorWord>-</errorWord>
      <group>L1_Format</group>
      <groupName>格式问题</groupName>
      <ability>L2_HalfPunc_CN</ability>
      <abilityName/>
      <candidateList>
        <item>－</item>
      </candidateList>
      <explain>文本全半角错误。</explain>
      <paraID> D915AFF</paraID>
      <start>8</start>
      <end>9</end>
      <status>modified</status>
      <modifiedWord>－</modifiedWord>
      <trackRevisions>false</trackRevisions>
    </reviewItem>
    <reviewItem>
      <errorID>a6c54600-87b5-4953-b12f-82de0370ea24</errorID>
      <errorWord>-</errorWord>
      <group>L1_Format</group>
      <groupName>格式问题</groupName>
      <ability>L2_HalfPunc_CN</ability>
      <abilityName/>
      <candidateList>
        <item>－</item>
      </candidateList>
      <explain>文本全半角错误。</explain>
      <paraID>78AFCC04</paraID>
      <start>11</start>
      <end>12</end>
      <status>modified</status>
      <modifiedWord>－</modifiedWord>
      <trackRevisions>false</trackRevisions>
    </reviewItem>
    <reviewItem>
      <errorID>03d0a6e9-aaa7-4506-86b5-1909f888f008</errorID>
      <errorWord>-</errorWord>
      <group>L1_Format</group>
      <groupName>格式问题</groupName>
      <ability>L2_HalfPunc_CN</ability>
      <abilityName/>
      <candidateList>
        <item>－</item>
      </candidateList>
      <explain>文本全半角错误。</explain>
      <paraID>45D8EFC0</paraID>
      <start>11</start>
      <end>12</end>
      <status>modified</status>
      <modifiedWord>－</modifiedWord>
      <trackRevisions>false</trackRevisions>
    </reviewItem>
    <reviewItem>
      <errorID>4f26d511-067c-40f4-a5d5-3c4da58f9759</errorID>
      <errorWord>每各</errorWord>
      <group>L1_Word</group>
      <groupName>字词问题</groupName>
      <ability>L2_Typo</ability>
      <abilityName>字词错误</abilityName>
      <candidateList>
        <item>每个</item>
      </candidateList>
      <explain/>
      <paraID> 2C024F2</paraID>
      <start>22</start>
      <end>24</end>
      <status>modified</status>
      <modifiedWord>每个</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9c4ea2-f311-4190-a5b9-f274c789e0a8}">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43</Pages>
  <Words>23806</Words>
  <Characters>24758</Characters>
  <Lines>194</Lines>
  <Paragraphs>54</Paragraphs>
  <TotalTime>5</TotalTime>
  <ScaleCrop>false</ScaleCrop>
  <LinksUpToDate>false</LinksUpToDate>
  <CharactersWithSpaces>25487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2025-01-07T01:04:00Z</dcterms:created>
  <dc:creator>admin</dc:creator>
  <cp:lastModifiedBy>luckylucky</cp:lastModifiedBy>
  <cp:lastPrinted>2023-10-25T09:29:00Z</cp:lastPrinted>
  <dcterms:modified xsi:type="dcterms:W3CDTF">2026-07-09T09:59:30Z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DFB7E735086F4D28934720BD3D5550F1_13</vt:lpwstr>
  </property>
  <property fmtid="{D5CDD505-2E9C-101B-9397-08002B2CF9AE}" pid="4" name="KSOTemplateDocerSaveRecord">
    <vt:lpwstr>eyJoZGlkIjoiMmU0ZDNiZGQ3MGE0MGI4YjY5ZGRmN2U5ZDI5YWYzMTEiLCJ1c2VySWQiOiI0NjY3MzgyMDAifQ==</vt:lpwstr>
  </property>
</Properties>
</file>