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编号：JSZC-320000-SWGC-G2026-0073号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扬州大学附属医院</w:t>
      </w:r>
      <w:r/>
    </w:p>
    <w:p>
      <w:pPr>
        <w:jc w:val="center"/>
        <w:rPr>
          <w:rFonts w:hint="eastAsia" w:ascii="宋体" w:hAnsi="宋体" w:cs="宋体"/>
          <w:b/>
          <w:bCs/>
          <w:color w:val="auto"/>
          <w:spacing w:val="-17"/>
          <w:sz w:val="36"/>
          <w:highlight w:val="none"/>
        </w:rPr>
      </w:pPr>
      <w:r>
        <w:rPr>
          <w:rFonts w:hint="eastAsia" w:ascii="宋体" w:hAnsi="宋体"/>
          <w:b/>
          <w:bCs/>
          <w:color w:val="auto"/>
          <w:sz w:val="36"/>
          <w:highlight w:val="none"/>
        </w:rPr>
        <w:t xml:space="preserve">京沪高级医学中心和急诊监护室陪护服务项目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0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2026年6月</w:t>
      </w: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_Toc17642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fldChar w:fldCharType="end"/>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_Toc20434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_Toc5650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_Toc30892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rPr>
        <w:fldChar w:fldCharType="end"/>
      </w:r>
      <w:r/>
    </w:p>
    <w:p>
      <w:pPr>
        <w:pStyle w:val="814"/>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789"/>
        <w:rPr>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bookmarkStart w:id="127" w:name="_GoBack"/>
      <w:r/>
      <w:bookmarkEnd w:id="127"/>
      <w:r/>
      <w:r/>
    </w:p>
    <w:p>
      <w:pPr>
        <w:pStyle w:val="789"/>
        <w:rPr>
          <w:color w:val="auto"/>
          <w:highlight w:val="none"/>
        </w:rPr>
      </w:pPr>
      <w:r/>
      <w:bookmarkStart w:id="1" w:name="_Toc6648"/>
      <w:r>
        <w:rPr>
          <w:rFonts w:hint="eastAsia"/>
          <w:color w:val="auto"/>
          <w:highlight w:val="none"/>
        </w:rPr>
        <w:t xml:space="preserve">第一章 </w:t>
      </w:r>
      <w:bookmarkEnd w:id="0"/>
      <w:r>
        <w:rPr>
          <w:rFonts w:hint="eastAsia"/>
          <w:color w:val="auto"/>
          <w:highlight w:val="none"/>
        </w:rPr>
        <w:t xml:space="preserve">投标邀请</w:t>
      </w:r>
      <w:bookmarkEnd w:id="1"/>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受扬州大学附属医院的委托，江苏苏维工程管理有限公司就扬州大学附属医院京沪高级医学中心和急诊监护室陪护服务项目（</w:t>
      </w:r>
      <w:r>
        <w:rPr>
          <w:rFonts w:hint="eastAsia" w:ascii="宋体" w:hAnsi="宋体" w:cs="宋体"/>
          <w:color w:val="auto"/>
          <w:szCs w:val="21"/>
          <w:highlight w:val="none"/>
        </w:rPr>
        <w:t xml:space="preserve">JSZC-320000-SWGC-G2026-0073号）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rPr>
        <w:t xml:space="preserve">扬州大学附属医院京沪高级医学中心和急诊监护室陪护服务项目 JSZC-320000-SWGC-G2026-0073 </w:t>
      </w:r>
      <w:r>
        <w:rPr>
          <w:rFonts w:hint="eastAsia" w:ascii="宋体" w:hAnsi="宋体" w:cs="宋体"/>
          <w:color w:val="auto"/>
          <w:highlight w:val="none"/>
        </w:rPr>
        <w:t xml:space="preserve">招标项目的潜在投标人应在</w:t>
      </w:r>
      <w:r>
        <w:rPr>
          <w:rFonts w:hint="eastAsia" w:ascii="宋体" w:hAnsi="宋体" w:cs="宋体"/>
          <w:color w:val="auto"/>
          <w:highlight w:val="none"/>
          <w:u w:val="single"/>
        </w:rPr>
        <w:t xml:space="preserve">“江苏政府采购网”“中国政府采购网”“扬州大学附属医院网” </w:t>
      </w:r>
      <w:r>
        <w:rPr>
          <w:rFonts w:hint="eastAsia" w:ascii="宋体" w:hAnsi="宋体" w:cs="宋体"/>
          <w:color w:val="auto"/>
          <w:highlight w:val="none"/>
        </w:rPr>
        <w:t xml:space="preserve">获取招标文件，并于</w:t>
      </w:r>
      <w:r>
        <w:rPr>
          <w:rFonts w:hint="eastAsia" w:ascii="宋体" w:hAnsi="宋体" w:cs="宋体"/>
          <w:color w:val="auto"/>
          <w:highlight w:val="none"/>
          <w:u w:val="single"/>
        </w:rPr>
        <w:t xml:space="preserve">2026年6月</w:t>
      </w:r>
      <w:r>
        <w:rPr>
          <w:rFonts w:hint="eastAsia" w:ascii="宋体" w:hAnsi="宋体" w:cs="宋体"/>
          <w:color w:val="auto"/>
          <w:highlight w:val="none"/>
          <w:u w:val="single"/>
          <w:lang w:val="en-US" w:eastAsia="zh-CN"/>
        </w:rPr>
        <w:t xml:space="preserve">29</w:t>
      </w:r>
      <w:r>
        <w:rPr>
          <w:rFonts w:hint="eastAsia" w:ascii="宋体" w:hAnsi="宋体" w:cs="宋体"/>
          <w:color w:val="auto"/>
          <w:highlight w:val="none"/>
          <w:u w:val="single"/>
        </w:rPr>
        <w:t xml:space="preserve">日上午9:30（北京时间）</w:t>
      </w:r>
      <w:r>
        <w:rPr>
          <w:rFonts w:hint="eastAsia" w:ascii="宋体" w:hAnsi="宋体" w:cs="宋体"/>
          <w:color w:val="auto"/>
          <w:highlight w:val="none"/>
        </w:rPr>
        <w:t xml:space="preserve">前递交投标文件。</w:t>
      </w:r>
      <w:r/>
    </w:p>
    <w:p>
      <w:pPr>
        <w:ind w:firstLine="422"/>
        <w:spacing w:line="360" w:lineRule="auto"/>
        <w:tabs>
          <w:tab w:val="left" w:pos="266" w:leader="none"/>
        </w:tabs>
        <w:rPr>
          <w:rFonts w:hint="eastAsia" w:ascii="宋体" w:hAnsi="宋体" w:cs="宋体"/>
          <w:b/>
          <w:bCs/>
          <w:color w:val="auto"/>
          <w:highlight w:val="none"/>
        </w:rPr>
      </w:pPr>
      <w:r/>
      <w:bookmarkStart w:id="2" w:name="_Toc35393790"/>
      <w:r/>
      <w:bookmarkStart w:id="3" w:name="_Toc38985263"/>
      <w:r/>
      <w:bookmarkStart w:id="4" w:name="_Toc28359002"/>
      <w:r/>
      <w:bookmarkStart w:id="5" w:name="_Toc28359079"/>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1.项目编号：JSZC-320000-SWGC-G2026-0073号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rPr>
        <w:t xml:space="preserve">扬州大学附属医院京沪高级医学中心和急诊监护室陪护服务项目</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3.预算金额：</w:t>
      </w:r>
      <w:r/>
    </w:p>
    <w:tbl>
      <w:tblPr>
        <w:tblStyle w:val="799"/>
        <w:tblW w:w="32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3"/>
        <w:gridCol w:w="4669"/>
      </w:tblGrid>
      <w:tr>
        <w:trPr/>
        <w:tc>
          <w:tcPr>
            <w:tcW w:w="1242"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3757"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预算</w:t>
            </w:r>
            <w:r>
              <w:rPr>
                <w:rFonts w:ascii="宋体" w:hAnsi="宋体"/>
                <w:color w:val="auto"/>
                <w:szCs w:val="21"/>
                <w:highlight w:val="none"/>
              </w:rPr>
              <w:t xml:space="preserve">金额</w:t>
            </w:r>
            <w:r>
              <w:rPr>
                <w:rFonts w:hint="eastAsia" w:ascii="宋体" w:hAnsi="宋体"/>
                <w:color w:val="auto"/>
                <w:szCs w:val="21"/>
                <w:highlight w:val="none"/>
              </w:rPr>
              <w:t xml:space="preserve">（两年）（人民币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1242"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3757"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144</w:t>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ab/>
      </w:r>
      <w:r/>
    </w:p>
    <w:tbl>
      <w:tblPr>
        <w:tblStyle w:val="79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1976"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是否</w:t>
            </w:r>
            <w:r>
              <w:rPr>
                <w:rFonts w:ascii="宋体" w:hAnsi="宋体"/>
                <w:color w:val="auto"/>
                <w:szCs w:val="21"/>
                <w:highlight w:val="none"/>
              </w:rPr>
              <w:t xml:space="preserve">设定最高</w:t>
            </w:r>
            <w:r>
              <w:rPr>
                <w:rFonts w:hint="eastAsia" w:ascii="宋体" w:hAnsi="宋体"/>
                <w:color w:val="auto"/>
                <w:szCs w:val="21"/>
                <w:highlight w:val="none"/>
              </w:rPr>
              <w:t xml:space="preserve">限价</w:t>
            </w:r>
            <w:r>
              <w:rPr>
                <w:rFonts w:ascii="宋体" w:hAnsi="宋体"/>
                <w:color w:val="auto"/>
                <w:szCs w:val="21"/>
                <w:highlight w:val="none"/>
              </w:rPr>
              <w:t xml:space="preserve">（</w:t>
            </w:r>
            <w:r>
              <w:rPr>
                <w:rFonts w:hint="eastAsia" w:ascii="宋体" w:hAnsi="宋体"/>
                <w:color w:val="auto"/>
                <w:szCs w:val="21"/>
                <w:highlight w:val="none"/>
              </w:rPr>
              <w:t xml:space="preserve">是/否</w:t>
            </w:r>
            <w:r>
              <w:rPr>
                <w:rFonts w:ascii="宋体" w:hAnsi="宋体"/>
                <w:color w:val="auto"/>
                <w:szCs w:val="21"/>
                <w:highlight w:val="none"/>
              </w:rPr>
              <w:t xml:space="preserve">）</w:t>
            </w:r>
            <w:r/>
          </w:p>
        </w:tc>
        <w:tc>
          <w:tcPr>
            <w:tcW w:w="2213"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最高</w:t>
            </w:r>
            <w:r>
              <w:rPr>
                <w:rFonts w:ascii="宋体" w:hAnsi="宋体"/>
                <w:color w:val="auto"/>
                <w:szCs w:val="21"/>
                <w:highlight w:val="none"/>
              </w:rPr>
              <w:t xml:space="preserve">限价</w:t>
            </w:r>
            <w:r>
              <w:rPr>
                <w:rFonts w:hint="eastAsia" w:ascii="宋体" w:hAnsi="宋体"/>
                <w:color w:val="auto"/>
                <w:szCs w:val="21"/>
                <w:highlight w:val="none"/>
              </w:rPr>
              <w:t xml:space="preserve">（两年）（人民币</w:t>
            </w:r>
            <w:r>
              <w:rPr>
                <w:rFonts w:ascii="宋体" w:hAnsi="宋体"/>
                <w:color w:val="auto"/>
                <w:szCs w:val="21"/>
                <w:highlight w:val="none"/>
              </w:rPr>
              <w:t xml:space="preserve">：万元</w:t>
            </w:r>
            <w:r>
              <w:rPr>
                <w:rFonts w:hint="eastAsia" w:ascii="宋体" w:hAnsi="宋体"/>
                <w:color w:val="auto"/>
                <w:szCs w:val="21"/>
                <w:highlight w:val="none"/>
              </w:rPr>
              <w:t xml:space="preserve">）</w:t>
            </w:r>
            <w:r/>
          </w:p>
        </w:tc>
      </w:tr>
      <w:tr>
        <w:trPr/>
        <w:tc>
          <w:tcPr>
            <w:tcW w:w="810"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976"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是</w:t>
            </w:r>
            <w:r/>
          </w:p>
        </w:tc>
        <w:tc>
          <w:tcPr>
            <w:tcW w:w="2213"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144</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5.采购需求：扬州大学附属医院</w:t>
      </w:r>
      <w:r>
        <w:rPr>
          <w:rFonts w:hint="eastAsia" w:ascii="宋体" w:hAnsi="宋体" w:cs="宋体"/>
          <w:color w:val="auto"/>
          <w:szCs w:val="21"/>
          <w:highlight w:val="none"/>
        </w:rPr>
        <w:t xml:space="preserve">西区京沪高级医学中心病房（西区12病区）和西区急诊ICU护工服务进行采购，</w:t>
      </w:r>
      <w:r>
        <w:rPr>
          <w:rFonts w:hint="eastAsia" w:ascii="宋体" w:hAnsi="宋体" w:cs="宋体"/>
          <w:color w:val="auto"/>
          <w:highlight w:val="none"/>
        </w:rPr>
        <w:t xml:space="preserve">具体详见招标文件第四章。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本项目服务期从中标之日起合同期两年，合同一年一签。合同期内，出现服务考核不合格情况，或因采购人实际工作需要，可单方面随时终止合同，投标人需无条件服从。具体详见招标文件第四章。 </w:t>
      </w:r>
      <w:r/>
    </w:p>
    <w:p>
      <w:pPr>
        <w:ind w:firstLine="422"/>
        <w:spacing w:line="360" w:lineRule="auto"/>
        <w:tabs>
          <w:tab w:val="left" w:pos="266" w:leader="none"/>
        </w:tabs>
        <w:rPr>
          <w:rFonts w:hint="eastAsia" w:ascii="宋体" w:hAnsi="宋体" w:cs="宋体"/>
          <w:b/>
          <w:bCs/>
          <w:color w:val="auto"/>
          <w:highlight w:val="none"/>
        </w:rPr>
      </w:pPr>
      <w:r/>
      <w:bookmarkStart w:id="8" w:name="_Toc35393791"/>
      <w:r/>
      <w:bookmarkStart w:id="9" w:name="_Toc28359003"/>
      <w:r/>
      <w:bookmarkStart w:id="10" w:name="_Toc35393622"/>
      <w:r/>
      <w:bookmarkStart w:id="11" w:name="_Toc28359080"/>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bookmarkStart w:id="13" w:name="_Toc28359081"/>
      <w:r/>
      <w:bookmarkStart w:id="14" w:name="_Toc35393623"/>
      <w:r/>
      <w:bookmarkStart w:id="15" w:name="_Toc38985265"/>
      <w:r/>
      <w:bookmarkStart w:id="16" w:name="_Toc35393792"/>
      <w:r/>
      <w:bookmarkStart w:id="17" w:name="_Toc28359004"/>
      <w:r>
        <w:rPr>
          <w:rFonts w:hint="eastAsia" w:ascii="宋体" w:hAnsi="宋体" w:cs="宋体"/>
          <w:color w:val="auto"/>
          <w:szCs w:val="21"/>
          <w:highlight w:val="none"/>
        </w:rPr>
        <w:t xml:space="preserve">（一）通用资格要求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2024年度或2025年度的财务报告情况；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2.在“信用中国”网站（www.creditchina.gov.cn）查询，不存在被列入失信被执行人、重大税收违</w:t>
      </w:r>
      <w:r>
        <w:rPr>
          <w:rFonts w:hint="eastAsia" w:ascii="宋体" w:hAnsi="宋体" w:cs="宋体"/>
          <w:color w:val="auto"/>
          <w:szCs w:val="21"/>
          <w:highlight w:val="none"/>
        </w:rPr>
        <w:t xml:space="preserve">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3.落实政府采购政策需满足的资格要求：</w:t>
      </w:r>
      <w:r>
        <w:rPr>
          <w:rFonts w:hint="eastAsia" w:ascii="宋体" w:hAnsi="宋体" w:cs="宋体"/>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4.联合体投标</w:t>
      </w:r>
      <w:r/>
    </w:p>
    <w:tbl>
      <w:tblPr>
        <w:tblStyle w:val="799"/>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采购包号</w:t>
            </w:r>
            <w:r/>
          </w:p>
        </w:tc>
        <w:tc>
          <w:tcPr>
            <w:tcW w:w="1793"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是否接受联合体投标（是/否）</w:t>
            </w:r>
            <w:r/>
          </w:p>
        </w:tc>
        <w:tc>
          <w:tcPr>
            <w:tcW w:w="1900" w:type="pc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该采购包中联合体成员数量上限</w:t>
            </w:r>
            <w:r/>
          </w:p>
        </w:tc>
      </w:tr>
      <w:tr>
        <w:trPr/>
        <w:tc>
          <w:tcPr>
            <w:tcW w:w="1305"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93"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c>
          <w:tcPr>
            <w:tcW w:w="1900" w:type="pct"/>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799"/>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2864"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特定</w:t>
            </w:r>
            <w:r>
              <w:rPr>
                <w:rFonts w:ascii="宋体" w:hAnsi="宋体"/>
                <w:color w:val="auto"/>
                <w:szCs w:val="21"/>
                <w:highlight w:val="none"/>
              </w:rPr>
              <w:t xml:space="preserve">资格要求</w:t>
            </w:r>
            <w:r/>
          </w:p>
        </w:tc>
      </w:tr>
      <w:tr>
        <w:trPr>
          <w:trHeight w:val="435"/>
        </w:trPr>
        <w:tc>
          <w:tcPr>
            <w:tcW w:w="2135"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2864" w:type="pct"/>
            <w:textDirection w:val="lrTb"/>
            <w:noWrap w:val="false"/>
          </w:tcPr>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无</w:t>
            </w:r>
            <w:r/>
          </w:p>
        </w:tc>
      </w:tr>
    </w:tbl>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（2）除单一来源采购项目外，为采购项目提供整体设计、规范编制或者项目管理、监理、检测等服务的供应商，不得再参加该采购项目的其他采购活动；</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2.获取方式：“江苏政府采购网”“中国政府采购网”“扬州大学附属医院”自行免费下载。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2026年6月</w:t>
      </w:r>
      <w:r>
        <w:rPr>
          <w:rFonts w:hint="eastAsia" w:ascii="宋体" w:hAnsi="宋体" w:cs="宋体"/>
          <w:color w:val="auto"/>
          <w:highlight w:val="none"/>
          <w:u w:val="single"/>
          <w:lang w:val="en-US" w:eastAsia="zh-CN"/>
        </w:rPr>
        <w:t xml:space="preserve">29</w:t>
      </w:r>
      <w:r>
        <w:rPr>
          <w:rFonts w:hint="eastAsia" w:ascii="宋体" w:hAnsi="宋体" w:cs="宋体"/>
          <w:color w:val="auto"/>
          <w:highlight w:val="none"/>
          <w:u w:val="single"/>
        </w:rPr>
        <w:t xml:space="preserve">日上午9:30</w:t>
      </w:r>
      <w:r>
        <w:rPr>
          <w:rFonts w:hint="eastAsia" w:ascii="宋体" w:hAnsi="宋体" w:cs="宋体"/>
          <w:color w:val="auto"/>
          <w:highlight w:val="none"/>
        </w:rPr>
        <w:t xml:space="preserve">（北京时间）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spacing w:line="360" w:lineRule="auto"/>
        <w:tabs>
          <w:tab w:val="left" w:pos="266" w:leader="none"/>
        </w:tabs>
        <w:rPr>
          <w:rFonts w:hint="eastAsia" w:ascii="宋体" w:hAnsi="宋体" w:cs="宋体"/>
          <w:b/>
          <w:bCs/>
          <w:color w:val="auto"/>
          <w:highlight w:val="none"/>
        </w:rPr>
      </w:pPr>
      <w:r/>
      <w:bookmarkStart w:id="23" w:name="_Toc35393625"/>
      <w:r/>
      <w:bookmarkStart w:id="24" w:name="_Toc35393794"/>
      <w:r/>
      <w:bookmarkStart w:id="25" w:name="_Toc38985267"/>
      <w:r/>
      <w:bookmarkStart w:id="26" w:name="_Toc28359084"/>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spacing w:line="360" w:lineRule="auto"/>
        <w:rPr>
          <w:rFonts w:hint="eastAsia" w:ascii="宋体" w:hAnsi="宋体" w:cs="宋体"/>
          <w:b/>
          <w:bCs/>
          <w:color w:val="auto"/>
          <w:highlight w:val="none"/>
        </w:rPr>
      </w:pPr>
      <w:r/>
      <w:bookmarkStart w:id="31" w:name="_Toc28359008"/>
      <w:r/>
      <w:bookmarkStart w:id="32" w:name="_Toc38985269"/>
      <w:r/>
      <w:bookmarkStart w:id="33" w:name="_Toc35393627"/>
      <w:r/>
      <w:bookmarkStart w:id="34" w:name="_Toc35393796"/>
      <w:r/>
      <w:bookmarkStart w:id="35" w:name="_Toc28359085"/>
      <w:r>
        <w:rPr>
          <w:rFonts w:hint="eastAsia" w:ascii="宋体" w:hAnsi="宋体" w:cs="宋体"/>
          <w:b/>
          <w:bCs/>
          <w:color w:val="auto"/>
          <w:highlight w:val="none"/>
        </w:rPr>
        <w:t xml:space="preserve">1. 根据省财政厅《关于</w:t>
      </w:r>
      <w:r>
        <w:rPr>
          <w:rFonts w:hint="eastAsia" w:ascii="宋体" w:hAnsi="宋体" w:cs="宋体"/>
          <w:b/>
          <w:bCs/>
          <w:color w:val="auto"/>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2.</w:t>
      </w:r>
      <w:r>
        <w:rPr>
          <w:rFonts w:hint="eastAsia" w:ascii="宋体" w:hAnsi="宋体" w:cs="宋体"/>
          <w:color w:val="auto"/>
          <w:highlight w:val="none"/>
        </w:rPr>
        <w:t xml:space="preserve">本次招标不收取投标保证金。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3.有关本次招标的事项若存在变动或修改，</w:t>
      </w:r>
      <w:r>
        <w:rPr>
          <w:rFonts w:hint="eastAsia" w:ascii="宋体" w:hAnsi="宋体" w:cs="宋体"/>
          <w:bCs/>
          <w:color w:val="auto"/>
          <w:highlight w:val="none"/>
        </w:rPr>
        <w:t xml:space="preserve">敬请及时关注</w:t>
      </w:r>
      <w:r>
        <w:rPr>
          <w:rFonts w:hint="eastAsia" w:ascii="宋体" w:hAnsi="宋体" w:cs="宋体"/>
          <w:bCs/>
          <w:color w:val="auto"/>
          <w:szCs w:val="21"/>
          <w:highlight w:val="none"/>
        </w:rPr>
        <w:t xml:space="preserve">“江苏政府采购网”“中国政府采购网”“扬州大学附属医院”</w:t>
      </w:r>
      <w:r>
        <w:rPr>
          <w:rFonts w:hint="eastAsia" w:ascii="宋体" w:hAnsi="宋体" w:cs="宋体"/>
          <w:bCs/>
          <w:color w:val="auto"/>
          <w:highlight w:val="none"/>
        </w:rPr>
        <w:t xml:space="preserve">发布的更正公告。</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4.本项目招标文件中所有斜体下划线部分为实质性条款，如不满足，则为无效投标。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5.如在开标时间发生系统崩溃等不可预见的情况，造成开评标活动无法正常进行的，将延迟开评标，具体开评标时间另行通知。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7.本项目严格执行政府采购关于支持节能产品、环境</w:t>
      </w:r>
      <w:r>
        <w:rPr>
          <w:rFonts w:hint="eastAsia" w:ascii="宋体" w:hAnsi="宋体" w:cs="宋体"/>
          <w:bCs/>
          <w:color w:val="auto"/>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8.供应商对于所投货物的包装应按照“财办库〔2020〕123号《关于印发《商品包装政府采购需求标准（试行）》《快递包装政府采购需求标准（试行）》的通知》”执行。</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扬州大学附属医院</w:t>
      </w:r>
      <w:r/>
    </w:p>
    <w:p>
      <w:pPr>
        <w:ind w:firstLine="420"/>
        <w:jc w:val="left"/>
        <w:spacing w:line="360" w:lineRule="auto"/>
        <w:rPr>
          <w:rFonts w:hint="eastAsia" w:ascii="宋体" w:hAnsi="宋体" w:cs="宋体"/>
          <w:color w:val="auto"/>
          <w:highlight w:val="none"/>
        </w:rPr>
      </w:pPr>
      <w:r/>
      <w:bookmarkStart w:id="38" w:name="_Toc28359086"/>
      <w:r/>
      <w:bookmarkStart w:id="39" w:name="_Toc28359009"/>
      <w:r>
        <w:rPr>
          <w:rFonts w:hint="eastAsia" w:ascii="宋体" w:hAnsi="宋体" w:cs="宋体"/>
          <w:color w:val="auto"/>
          <w:highlight w:val="none"/>
        </w:rPr>
        <w:t xml:space="preserve">地 址：扬州市邗江中路368号</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联系人：张主任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联系方式：0514-82099555</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陈秋萍、阮玉婷</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pStyle w:val="1000"/>
        <w:jc w:val="center"/>
        <w:rPr>
          <w:rFonts w:hint="eastAsia" w:ascii="宋体" w:hAnsi="宋体" w:cs="宋体"/>
          <w:color w:val="auto"/>
          <w:sz w:val="36"/>
          <w:szCs w:val="36"/>
          <w:highlight w:val="none"/>
        </w:rPr>
        <w:sectPr>
          <w:footerReference w:type="default" r:id="rId13"/>
          <w:footnotePr/>
          <w:endnotePr/>
          <w:type w:val="nextPage"/>
          <w:pgSz w:w="11906" w:h="16838" w:orient="portrait"/>
          <w:pgMar w:top="1417" w:right="1134" w:bottom="1417" w:left="1417" w:header="850" w:footer="992" w:gutter="0"/>
          <w:pgNumType w:start="1"/>
          <w:cols w:num="1" w:sep="0" w:space="0" w:equalWidth="1"/>
          <w:docGrid w:linePitch="360"/>
        </w:sectPr>
      </w:pPr>
      <w:r/>
      <w:bookmarkStart w:id="40" w:name="_Toc55204178"/>
      <w:r/>
      <w:r/>
    </w:p>
    <w:p>
      <w:pPr>
        <w:pStyle w:val="789"/>
        <w:rPr>
          <w:color w:val="auto"/>
          <w:highlight w:val="none"/>
        </w:rPr>
      </w:pPr>
      <w:r/>
      <w:bookmarkStart w:id="41" w:name="_Toc17642"/>
      <w:r/>
      <w:bookmarkStart w:id="42" w:name="_Toc10032"/>
      <w:r>
        <w:rPr>
          <w:rFonts w:hint="eastAsia"/>
          <w:color w:val="auto"/>
          <w:highlight w:val="none"/>
        </w:rPr>
        <w:t xml:space="preserve">第二章 投标人须知</w:t>
      </w:r>
      <w:bookmarkEnd w:id="40"/>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一、总则</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本次招标采取公开招标方式，本招标文件仅适用于JSZC-320000-SWGC-G2026-0073号项目。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2.合格的投标人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2.1满足招标公告中供应商的资格要求的规定。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 满足本文件实质性要求的规定。</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3.适用法律和标准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4.2本次招标采购不收取标书工本费。</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4.3本项目招标代理费根据苏财规【2026】1号文的相关规定，本项目采购代理服务费由中标人支付，中标人在报价时应将代理服务费全额包含在投标总价中，由中标人支付给代理机构。</w:t>
      </w:r>
      <w:r/>
    </w:p>
    <w:p>
      <w:pPr>
        <w:ind w:firstLine="422"/>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本次采购由中标人在领取中标通知书前一次性支付给招标代理机构代理服务费（具体计算方式详见下表）。</w:t>
      </w:r>
      <w:r/>
    </w:p>
    <w:tbl>
      <w:tblPr>
        <w:tblStyle w:val="799"/>
        <w:tblW w:w="8111" w:type="dxa"/>
        <w:jc w:val="center"/>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项目</w:t>
            </w:r>
            <w:r/>
          </w:p>
          <w:p>
            <w:pPr>
              <w:ind w:left="160"/>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hint="eastAsia" w:ascii="宋体" w:hAnsi="宋体" w:cs="宋体"/>
                <w:color w:val="auto"/>
                <w:spacing w:val="40"/>
                <w:szCs w:val="21"/>
                <w:highlight w:val="none"/>
              </w:rPr>
            </w:pPr>
            <w:r>
              <w:rPr>
                <w:rFonts w:hint="eastAsia" w:ascii="宋体" w:hAnsi="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p>
            <w:pPr>
              <w:ind w:firstLine="105"/>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1500元</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 15 </w:t>
            </w:r>
            <w:r>
              <w:rPr>
                <w:rFonts w:hint="eastAsia" w:ascii="宋体" w:hAnsi="宋体" w:cs="宋体"/>
                <w:color w:val="auto"/>
                <w:szCs w:val="21"/>
                <w:highlight w:val="none"/>
              </w:rPr>
              <w:t xml:space="preserve">%</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 15 </w:t>
            </w:r>
            <w:r>
              <w:rPr>
                <w:rFonts w:hint="eastAsia" w:ascii="宋体" w:hAnsi="宋体" w:cs="宋体"/>
                <w:color w:val="auto"/>
                <w:szCs w:val="21"/>
                <w:highlight w:val="none"/>
              </w:rPr>
              <w:t xml:space="preserve">%</w:t>
            </w:r>
            <w:r/>
          </w:p>
        </w:tc>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基准费率表</w:t>
      </w:r>
      <w:r/>
    </w:p>
    <w:tbl>
      <w:tblPr>
        <w:tblStyle w:val="799"/>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0.05%</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（1）本项目代理服务费以为中标价为计算基础，按差额定率累进法计算；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（3）代理服务费一次性以电汇或转账等非现金形式支付。</w:t>
      </w:r>
      <w:r/>
    </w:p>
    <w:p>
      <w:pPr>
        <w:ind w:firstLine="1054"/>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开户银行：中国工商银行扬州雍华府支行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4.3本次招标采购专家评审费按照《关于规范江苏省政府采购专家评审费标准的通知》（苏财购〔2016〕48号）执行。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（1）投标邀请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（3）合同文本</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招标文件如果要求投标人提交备选投标方案的，供应商可以提交备选方案；否则，备选方案将被拒绝。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8.3招标文件的修改将在“江苏政府采购网”“中国政府采购网”“扬州大学附属医院”公布，补充文件将作为招标文件的组成部分，并对投标人具有约束力。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（6）技术要求响应及偏离表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（7）商务要求响应及偏离表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江苏政府采购网”“中国政府采购网”“扬州大学附属医院”发布的招标文件不一致，请以“江苏政府采购网”“中国政府采购网”“扬州大学附属医院”发布的招标文件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10.3投标人应当根据招标文件要求编制投标文件，投标文件应对招标文件提出的要求和条件作出响应，并在相应的投标文件中逐条标明满足与否。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462564084"/>
      <w:r/>
      <w:bookmarkStart w:id="44" w:name="_Toc513029225"/>
      <w:r/>
      <w:bookmarkStart w:id="45" w:name="_Toc16938541"/>
      <w:r/>
      <w:bookmarkStart w:id="46" w:name="_Toc20823297"/>
      <w:r>
        <w:rPr>
          <w:rFonts w:hint="eastAsia" w:ascii="宋体" w:hAnsi="宋体" w:cs="宋体"/>
          <w:b/>
          <w:color w:val="auto"/>
          <w:szCs w:val="21"/>
          <w:highlight w:val="none"/>
        </w:rPr>
        <w:t xml:space="preserve">四、投标文件的递交</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20823299"/>
      <w:r/>
      <w:bookmarkStart w:id="51" w:name="_Toc16938543"/>
      <w:r/>
      <w:bookmarkStart w:id="52" w:name="_Toc513029227"/>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20823300"/>
      <w:r/>
      <w:bookmarkStart w:id="54" w:name="_Toc513029228"/>
      <w:r/>
      <w:bookmarkStart w:id="55" w:name="_Toc16938544"/>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20.2.1投标人可在投标截止时间前，对其电子投标文件进行修改，具体操作方法见《操作手册》。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20.2.2在投标截止时间之后，投标人不得对其电子投标文件作任何修改。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21.3开标仪式由代理机构组织。“苏采云系统”将自动对项目进行开标，并宣读各投标人的《开标一览表》。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21.5投标人如果对开标过程和开标记录有疑义，应当根据《操作手册》规定提出，如苏采云系统中《开标记录表》宣布后5分钟内未提出的，视同认可开标结果。</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开标后，代理机构将立即组织评标委员会（以下简称评标委员会）进行评标。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评标委员会由采购人代表和有关技术、经济等方面的专家组成，且人员构成符合政府采购有关规定。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22.3评标委员会独立工作，负责评审所有投标文件并确定中标候选人。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代理机构和评标委员会不向未中标的投标人解释未中标原因，也不公布评标过程中的相关细节。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24.1评标期间，评标委员会对投标文件中含义不明确、同类问题表述不一致或者有明显文字和计算错误的内容 ，有权要求投标人作出必要的澄清、说明或者补正。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接到评标委员会澄清、说明和补正要求的投标人如未按规定做出澄清、说明和补正，其风险由投标人自行承担。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25.1.1资格审查：依据法律法规和招标文件的规定，由采购人对投标文件中的资格证明文件进行审查。并将审查结论以书面形式向评标委员会反馈。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25.4评标委员会将对确定为实质性响应的投标进行进一步审核，看其是否有计算上或累加上的算术错误，修正错误的原则如下：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 投标人在开、评标全过程中应保持通讯畅通，</w:t>
      </w:r>
      <w:r>
        <w:rPr>
          <w:rFonts w:hint="eastAsia" w:ascii="宋体" w:hAnsi="宋体"/>
          <w:color w:val="auto"/>
          <w:sz w:val="24"/>
          <w:szCs w:val="21"/>
          <w:highlight w:val="none"/>
        </w:rPr>
        <w:t xml:space="preserve">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s="宋体"/>
          <w:bCs/>
          <w:color w:val="auto"/>
          <w:szCs w:val="21"/>
          <w:highlight w:val="none"/>
        </w:rPr>
        <w:t xml:space="preserve">并安排专人与代理机构及评标委员会联系。</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 异常低价投标审查</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25.8.1 评标过程中出现下列情形之一的，评标委员会应当启动异常低价投标审查程序：</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1.投标（响应）报价低于全部通过符合性审查供应商投标（响应）报价平均值50%的，即投标（响应）报价〈全部通过符合性审查供应商投标（响应）报价平均值×50%；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2.投标（响应）报价低于通过符合性审查的次低报价供应商投标（响应）报价50%的，即投标（响应）报价〈通过符合性审查的次低报价供应商投标（响应）报价×50%；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3.投标（响应）报价低于采购项目最高限价45%的，即投标（响应）报价〈采购项目最高限价×45%；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4.评审委员会基于专业判断，认为供应商报价过低，有可能影响产品质量或者不能诚信履约的其他情形。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color w:val="auto"/>
          <w:szCs w:val="21"/>
          <w:highlight w:val="none"/>
        </w:rPr>
        <w:t xml:space="preserve">（</w:t>
      </w:r>
      <w:r>
        <w:rPr>
          <w:rFonts w:hint="eastAsia" w:ascii="宋体" w:hAnsi="宋体" w:cs="宋体"/>
          <w:b/>
          <w:i/>
          <w:iCs/>
          <w:color w:val="auto"/>
          <w:szCs w:val="21"/>
          <w:highlight w:val="none"/>
          <w:u w:val="single"/>
        </w:rPr>
        <w:t xml:space="preserve">本招标文件中斜体且有下划线部分为实质性要求和条件</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评标委员会按照本招标文件规定对投标人进行异常低价投标审查后，认为投标人不能证明其报价合理性的。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26.1.13投标人所投标产品不符合招标文件中所列国家强制性标准的。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26.2.4评标委员会认定招标文件存在歧义、重大缺陷导致评审工作无法进行。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27.1评标委员会根据本招标文件规定评标方法与评标标准向采购人推荐中标候选人。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采购人应根据评标委员会推荐的中标候选人确定中标供应商。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27.3代理机构将在“江苏政府采购网”“中国政府采购网”“扬州大学附属医院”发布中标公告，公告期限为1个工作日。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27.4若有充分证据证明，中标供应商出现下列情况之一的，一经查实，将被取消中标资格：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27.4.4属于本文件规定的无效条件，但在评标过程中又未被评标委员会发现的；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2"/>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30.l中标供应商应在中标通知书发出之日起三十日内，按照招标文件确定的事项与采购人签订政府采购合同。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招标文件、中标供应商的投标文件及招标过程中有关澄清、承诺文件均应作为合同附件。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rPr>
        <w:t xml:space="preserve">中标供应商不得将货物或服务及其他服务进行转包</w:t>
      </w:r>
      <w:r>
        <w:rPr>
          <w:rFonts w:hint="eastAsia" w:ascii="宋体" w:hAnsi="宋体" w:cs="宋体"/>
          <w:bCs/>
          <w:color w:val="auto"/>
          <w:szCs w:val="21"/>
          <w:highlight w:val="none"/>
        </w:rPr>
        <w:t xml:space="preserve">。未经采购人同意，中标供应商也不得采用分包的形式履行合同，否则采购人有权终止合同，中标供应商的履约保证金将不予退还。转包或分包造成采购人损失的，中标供应商应承担赔偿责任。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31.服务的追加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31.1政府采购合同履行中，采购人需追加与合同标的相同的服务的，在不改变合同其他条款的前提下，可以与中标供应商协商签订补充合同，但所有补充合同的采购金额不超过原合同金额10%。</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32.政府采购履约资金扶持政策</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中标供应商可凭政府采购合同办理融资贷款，详情请见江苏政府采购网“政采贷”专栏。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89"/>
        <w:rPr>
          <w:color w:val="auto"/>
          <w:highlight w:val="none"/>
        </w:rPr>
      </w:pPr>
      <w:r/>
      <w:bookmarkStart w:id="56" w:name="_Toc18427"/>
      <w:r/>
      <w:bookmarkStart w:id="57" w:name="_Toc55204179"/>
      <w:r/>
      <w:bookmarkStart w:id="58" w:name="_Toc20434"/>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before="145" w:after="145"/>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江苏省政府采购合同（服务）（合同编号）</w:t>
      </w:r>
      <w:r/>
    </w:p>
    <w:p>
      <w:pPr>
        <w:ind w:firstLine="420"/>
        <w:jc w:val="left"/>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项目名称：扬州大学附属医院京沪高级医学中心和急诊监护室陪护服务项目</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项目编号：JSZC-320000-SWGC-G2026-0073号             </w:t>
      </w:r>
      <w:r/>
    </w:p>
    <w:p>
      <w:pPr>
        <w:ind w:firstLine="420"/>
        <w:spacing w:line="360" w:lineRule="auto"/>
        <w:rPr>
          <w:rFonts w:hint="eastAsia" w:ascii="宋体" w:hAnsi="宋体" w:cs="宋体"/>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甲方：（买方/采购人）</w:t>
      </w:r>
      <w:r>
        <w:rPr>
          <w:rFonts w:hint="eastAsia" w:ascii="宋体" w:hAnsi="宋体" w:cs="宋体"/>
          <w:color w:val="auto"/>
          <w:szCs w:val="21"/>
          <w:highlight w:val="none"/>
          <w:u w:val="single"/>
        </w:rPr>
        <w:t xml:space="preserve">扬州大学附属医院</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乙方：（卖方/中标供应商）_________</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甲、乙双方根据江苏苏维工程管理有限公司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项目公开招标的结果，签署本合同。</w:t>
      </w:r>
      <w:bookmarkEnd w:id="59"/>
      <w:r/>
      <w:r/>
    </w:p>
    <w:p>
      <w:pPr>
        <w:pStyle w:val="1012"/>
        <w:ind w:firstLine="420"/>
        <w:spacing w:line="360" w:lineRule="auto"/>
        <w:rPr>
          <w:rFonts w:hint="eastAsia" w:hAnsi="宋体" w:cs="宋体"/>
          <w:bCs/>
          <w:color w:val="auto"/>
          <w:sz w:val="21"/>
          <w:highlight w:val="none"/>
        </w:rPr>
      </w:pPr>
      <w:r/>
      <w:bookmarkStart w:id="60" w:name="_Toc12506"/>
      <w:r>
        <w:rPr>
          <w:rFonts w:hint="eastAsia" w:hAnsi="宋体" w:cs="宋体"/>
          <w:bCs/>
          <w:color w:val="auto"/>
          <w:sz w:val="21"/>
          <w:highlight w:val="none"/>
        </w:rPr>
        <w:t xml:space="preserve">一、合同内容</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 标的名称：</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1.2标的质量：</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 标的数量（规模）：</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 履行时间（期限）：本项目服务期从中标之日起合同期两年，合同一年一签。合同期内，出现服务考核不合格情况，或因</w:t>
      </w:r>
      <w:r>
        <w:rPr>
          <w:rFonts w:hint="eastAsia" w:hAnsi="宋体" w:cs="宋体"/>
          <w:color w:val="auto"/>
          <w:sz w:val="21"/>
          <w:highlight w:val="none"/>
          <w:lang w:val="en-US" w:eastAsia="zh-CN"/>
        </w:rPr>
        <w:t xml:space="preserve">甲方</w:t>
      </w:r>
      <w:r>
        <w:rPr>
          <w:rFonts w:hint="eastAsia" w:hAnsi="宋体" w:cs="宋体"/>
          <w:color w:val="auto"/>
          <w:sz w:val="21"/>
          <w:highlight w:val="none"/>
        </w:rPr>
        <w:t xml:space="preserve">实际工作需要，可单方面随时终止合同，</w:t>
      </w:r>
      <w:r>
        <w:rPr>
          <w:rFonts w:hint="eastAsia" w:hAnsi="宋体" w:cs="宋体"/>
          <w:color w:val="auto"/>
          <w:sz w:val="21"/>
          <w:highlight w:val="none"/>
          <w:lang w:val="en-US" w:eastAsia="zh-CN"/>
        </w:rPr>
        <w:t xml:space="preserve">乙方</w:t>
      </w:r>
      <w:r>
        <w:rPr>
          <w:rFonts w:hint="eastAsia" w:hAnsi="宋体" w:cs="宋体"/>
          <w:color w:val="auto"/>
          <w:sz w:val="21"/>
          <w:highlight w:val="none"/>
        </w:rPr>
        <w:t xml:space="preserve">需无条件服从。</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 履行地点：扬州大学附属医院西区京沪高级医学中心病房和西区急诊ICU等区域。</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 履行方式：医院指定方式</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二、合同金额</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2.1 </w:t>
      </w:r>
      <w:r>
        <w:rPr>
          <w:rFonts w:hint="eastAsia" w:hAnsi="宋体" w:cs="宋体"/>
          <w:color w:val="auto"/>
          <w:sz w:val="21"/>
          <w:highlight w:val="none"/>
        </w:rPr>
        <w:t xml:space="preserve">本合同金额为（大写）：________圆（________元）人民币</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固定支付陪护人员费用_____元/月/人</w:t>
      </w:r>
      <w:r>
        <w:rPr>
          <w:rFonts w:hint="eastAsia" w:hAnsi="宋体" w:cs="宋体"/>
          <w:color w:val="auto"/>
          <w:sz w:val="21"/>
          <w:highlight w:val="none"/>
          <w:lang w:eastAsia="zh-CN"/>
        </w:rPr>
        <w:t xml:space="preserve">；临时增加陪护人员费用</w:t>
      </w:r>
      <w:r>
        <w:rPr>
          <w:rFonts w:hint="eastAsia" w:hAnsi="宋体" w:cs="宋体"/>
          <w:color w:val="auto"/>
          <w:sz w:val="21"/>
          <w:highlight w:val="none"/>
        </w:rPr>
        <w:t xml:space="preserve">_____元/人/天。</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三、技术资料</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3.1乙方应按招标文件规定的时间向甲方提供服务（包含与服务相关的货物）的有关技术资料。</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四、知识产权</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五、产权担保</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乙方保证所交付的服务（包含与服务相关的货物）的所有权完全属于乙方且无任何抵押、查封等产权瑕疵。</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lang w:val="en-US" w:eastAsia="zh-CN"/>
        </w:rPr>
        <w:t xml:space="preserve">  零  </w:t>
      </w:r>
      <w:r>
        <w:rPr>
          <w:rFonts w:hint="eastAsia" w:ascii="宋体" w:hAnsi="宋体" w:eastAsia="宋体" w:cs="宋体"/>
          <w:color w:val="auto"/>
          <w:sz w:val="21"/>
          <w:szCs w:val="21"/>
          <w:highlight w:val="none"/>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6.2.5履约保证金逾期退还的违约责任：无</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七、合同转包或分包</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7.1乙方不得将合同标的转包给他人履行。</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7.2乙方不得将合同标的分包给他人履行。</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7.3乙方如有转包或未经甲方同意的分包行为，甲方有权解除合同。</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八、合同款项支付</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8.1合同款支付条件：</w:t>
      </w:r>
      <w:r>
        <w:rPr>
          <w:rFonts w:hint="eastAsia" w:ascii="宋体" w:hAnsi="宋体" w:cs="宋体"/>
          <w:color w:val="auto"/>
          <w:szCs w:val="21"/>
          <w:highlight w:val="none"/>
          <w:u w:val="single"/>
        </w:rPr>
        <w:t xml:space="preserve">乙方</w:t>
      </w:r>
      <w:r>
        <w:rPr>
          <w:rFonts w:hint="eastAsia" w:ascii="宋体" w:hAnsi="宋体" w:cs="宋体"/>
          <w:color w:val="auto"/>
          <w:szCs w:val="21"/>
          <w:highlight w:val="none"/>
          <w:u w:val="single"/>
          <w:lang w:val="en-US" w:eastAsia="zh-CN"/>
        </w:rPr>
        <w:t xml:space="preserve">须向甲方开具合规有效发票，提交甲乙双方共同确认的服务内容。</w:t>
      </w:r>
      <w:r/>
    </w:p>
    <w:p>
      <w:pPr>
        <w:ind w:firstLine="420"/>
        <w:jc w:val="left"/>
        <w:spacing w:line="360" w:lineRule="auto"/>
        <w:rPr>
          <w:rFonts w:hint="default" w:ascii="宋体" w:hAnsi="宋体" w:cs="宋体"/>
          <w:color w:val="auto"/>
          <w:szCs w:val="21"/>
          <w:highlight w:val="none"/>
          <w:u w:val="single"/>
          <w:lang w:val="en-US" w:eastAsia="zh-CN"/>
        </w:rPr>
      </w:pPr>
      <w:r>
        <w:rPr>
          <w:rFonts w:hint="eastAsia" w:ascii="宋体" w:hAnsi="宋体" w:cs="宋体"/>
          <w:color w:val="auto"/>
          <w:szCs w:val="21"/>
          <w:highlight w:val="none"/>
        </w:rPr>
        <w:t xml:space="preserve">8.2合同款支付方式：</w:t>
      </w:r>
      <w:r>
        <w:rPr>
          <w:rFonts w:hint="eastAsia" w:ascii="宋体" w:hAnsi="宋体" w:cs="宋体"/>
          <w:color w:val="auto"/>
          <w:szCs w:val="21"/>
          <w:highlight w:val="none"/>
          <w:u w:val="single"/>
        </w:rPr>
        <w:t xml:space="preserve">从合同签订之日起开始计算服务费，</w:t>
      </w:r>
      <w:r>
        <w:rPr>
          <w:rFonts w:hint="eastAsia" w:ascii="宋体" w:hAnsi="宋体" w:cs="宋体"/>
          <w:color w:val="auto"/>
          <w:szCs w:val="21"/>
          <w:highlight w:val="none"/>
          <w:u w:val="single"/>
          <w:lang w:val="en-US" w:eastAsia="zh-CN"/>
        </w:rPr>
        <w:t xml:space="preserve">服务</w:t>
      </w:r>
      <w:r>
        <w:rPr>
          <w:rFonts w:hint="eastAsia" w:ascii="宋体" w:hAnsi="宋体" w:cs="宋体"/>
          <w:color w:val="auto"/>
          <w:szCs w:val="21"/>
          <w:highlight w:val="none"/>
          <w:u w:val="single"/>
        </w:rPr>
        <w:t xml:space="preserve">费用按每月</w:t>
      </w:r>
      <w:r>
        <w:rPr>
          <w:rFonts w:hint="eastAsia" w:ascii="宋体" w:hAnsi="宋体" w:cs="宋体"/>
          <w:color w:val="auto"/>
          <w:szCs w:val="21"/>
          <w:highlight w:val="none"/>
          <w:u w:val="single"/>
          <w:lang w:val="en-US" w:eastAsia="zh-CN"/>
        </w:rPr>
        <w:t xml:space="preserve">据实</w:t>
      </w:r>
      <w:r>
        <w:rPr>
          <w:rFonts w:hint="eastAsia" w:ascii="宋体" w:hAnsi="宋体" w:cs="宋体"/>
          <w:color w:val="auto"/>
          <w:szCs w:val="21"/>
          <w:highlight w:val="none"/>
          <w:u w:val="single"/>
        </w:rPr>
        <w:t xml:space="preserve">结算，</w:t>
      </w:r>
      <w:r>
        <w:rPr>
          <w:rFonts w:hint="eastAsia" w:ascii="宋体" w:hAnsi="宋体" w:cs="宋体"/>
          <w:color w:val="auto"/>
          <w:szCs w:val="21"/>
          <w:highlight w:val="none"/>
          <w:u w:val="single"/>
          <w:lang w:val="en-US" w:eastAsia="zh-CN"/>
        </w:rPr>
        <w:t xml:space="preserve">年度</w:t>
      </w:r>
      <w:r>
        <w:rPr>
          <w:rFonts w:hint="eastAsia" w:ascii="宋体" w:hAnsi="宋体" w:cs="宋体"/>
          <w:color w:val="auto"/>
          <w:szCs w:val="21"/>
          <w:highlight w:val="none"/>
          <w:u w:val="single"/>
        </w:rPr>
        <w:t xml:space="preserve">总费用不得超过72万元</w:t>
      </w:r>
      <w:r>
        <w:rPr>
          <w:rFonts w:hint="eastAsia" w:ascii="宋体" w:hAnsi="宋体" w:cs="宋体"/>
          <w:color w:val="auto"/>
          <w:szCs w:val="21"/>
          <w:highlight w:val="none"/>
          <w:u w:val="single"/>
          <w:lang w:eastAsia="zh-CN"/>
        </w:rPr>
        <w:t xml:space="preserve">；甲方</w:t>
      </w:r>
      <w:r>
        <w:rPr>
          <w:rFonts w:hint="eastAsia" w:ascii="宋体" w:hAnsi="宋体" w:cs="宋体"/>
          <w:color w:val="auto"/>
          <w:szCs w:val="21"/>
          <w:highlight w:val="none"/>
          <w:u w:val="single"/>
          <w:lang w:val="en-US" w:eastAsia="zh-CN"/>
        </w:rPr>
        <w:t xml:space="preserve">依据</w:t>
      </w:r>
      <w:r>
        <w:rPr>
          <w:rFonts w:hint="eastAsia" w:ascii="宋体" w:hAnsi="宋体" w:cs="宋体"/>
          <w:color w:val="auto"/>
          <w:szCs w:val="21"/>
          <w:highlight w:val="none"/>
          <w:u w:val="single"/>
          <w:lang w:eastAsia="zh-CN"/>
        </w:rPr>
        <w:t xml:space="preserve">考核标准对乙方月度服务完成情况开展考核，考核合格后，按乙方实际履约工作量结算当月服务费用。</w:t>
      </w:r>
      <w:r>
        <w:rPr>
          <w:rFonts w:hint="eastAsia" w:ascii="宋体" w:hAnsi="宋体" w:cs="宋体"/>
          <w:color w:val="auto"/>
          <w:szCs w:val="21"/>
          <w:highlight w:val="none"/>
          <w:u w:val="single"/>
          <w:lang w:val="en-US" w:eastAsia="zh-CN"/>
        </w:rPr>
        <w:t xml:space="preserve">考核标准详见附件一。</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九、税费</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9.1本合同执行中相关的一切税费均由乙方负担。</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十、项目验收</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10.1 甲方依法组织履约验收工作。</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10.3 对于实际使用人和甲方分离的项目，甲方邀请实际使用人参与验收。</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10.4 如有必要，甲方邀请参加本项目的其他供应商或第三方专业机构及专家参与验收，相关意见将作为验收书的参考资料。</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10.5 甲方成立验收小组，按照采购合同的约定对乙方的履约情况进行验收。验收时</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甲方按照采购合同的约定对每一项技术、服务、安全标准的履约情况进行确认。验收结束后</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验收小组出具验收书</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列明各项标准的验收情况及项目总体评价</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由验收双方共同签署。验收结果与采购合同约定的资金支付及履约保证金返还条件挂钩。履约验收的各项资料存档备查。</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10.6 验收合格的项目</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甲方将及时报告本级财政部门。</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十一、违约责任</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 甲方无正当理由拒绝接受乙方提供服务的，甲方向乙方偿付拒绝接受服务合同价款总值</w:t>
      </w:r>
      <w:r>
        <w:rPr>
          <w:rFonts w:hint="eastAsia" w:hAnsi="宋体" w:cs="宋体"/>
          <w:color w:val="auto"/>
          <w:sz w:val="21"/>
          <w:highlight w:val="none"/>
          <w:u w:val="single"/>
        </w:rPr>
        <w:t xml:space="preserve">1%</w:t>
      </w:r>
      <w:r>
        <w:rPr>
          <w:rFonts w:hint="eastAsia" w:hAnsi="宋体" w:cs="宋体"/>
          <w:color w:val="auto"/>
          <w:sz w:val="21"/>
          <w:highlight w:val="none"/>
        </w:rPr>
        <w:t xml:space="preserve">的违约金。</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11.2 甲方无故逾期验收和办理合同款项支付手续的</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甲方应按逾期付款总额</w:t>
      </w:r>
      <w:r>
        <w:rPr>
          <w:rFonts w:hint="eastAsia" w:hAnsi="宋体" w:cs="宋体"/>
          <w:color w:val="auto"/>
          <w:sz w:val="21"/>
          <w:highlight w:val="none"/>
          <w:u w:val="single"/>
        </w:rPr>
        <w:t xml:space="preserve">6‰</w:t>
      </w:r>
      <w:r>
        <w:rPr>
          <w:rFonts w:hint="eastAsia" w:hAnsi="宋体" w:cs="宋体"/>
          <w:color w:val="auto"/>
          <w:sz w:val="21"/>
          <w:highlight w:val="none"/>
        </w:rPr>
        <w:t xml:space="preserve">每日向乙方支付违约金。</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11.3 乙方所提供服务的标准不符合合同规定及招标文件规定标准的，甲方有权拒绝接受服务，并可单方面解除合同。</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11.4 乙方逾期提供服务的，乙方应按逾期提供服务合同总额每日千分之六向甲方支付违约金，由甲方从待付合同款项中扣除。逾期超过约定日期10个工作日不能提供服务的，甲方可解除本合同。如因乙方预期违约、根本违约或其他严重违约行为导致合同终止的，乙方应向甲方支付合同总价</w:t>
      </w:r>
      <w:r>
        <w:rPr>
          <w:rFonts w:hint="eastAsia" w:hAnsi="宋体" w:cs="宋体"/>
          <w:color w:val="auto"/>
          <w:sz w:val="21"/>
          <w:highlight w:val="none"/>
          <w:u w:val="single"/>
        </w:rPr>
        <w:t xml:space="preserve">20%</w:t>
      </w:r>
      <w:r>
        <w:rPr>
          <w:rFonts w:hint="eastAsia" w:hAnsi="宋体" w:cs="宋体"/>
          <w:color w:val="auto"/>
          <w:sz w:val="21"/>
          <w:highlight w:val="none"/>
        </w:rPr>
        <w:t xml:space="preserve">的违约金，并没收全部履约保证金。造成甲方损失的，乙方还应承担全部赔偿责任。</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十二、不可抗力事件处理</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12.1 在合同有效期内，任何一方因不可抗力事件导致不能履行合同，则合同履行期可延长，其延长期与不可抗力影响 期相同。</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12.2 不可抗力事件发生后，应立即通知对方，并寄送有关权威机构出具的证明。</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12.3 不可抗力事件延续120天以上，双方应通过友好协商，确定是否继续履行合同。</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十三、解决争议的方法</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13.1双方在签订、履行合同中所发生的一切争议，应通过友好协商解决。如协商不成，由甲方住所地人民法院管辖。</w:t>
      </w:r>
      <w:r/>
    </w:p>
    <w:p>
      <w:pPr>
        <w:pStyle w:val="1012"/>
        <w:ind w:firstLine="420"/>
        <w:spacing w:line="360" w:lineRule="auto"/>
        <w:rPr>
          <w:rFonts w:hint="eastAsia" w:hAnsi="宋体" w:cs="宋体"/>
          <w:bCs/>
          <w:color w:val="auto"/>
          <w:sz w:val="21"/>
          <w:highlight w:val="none"/>
        </w:rPr>
      </w:pPr>
      <w:r>
        <w:rPr>
          <w:rFonts w:hint="eastAsia" w:hAnsi="宋体" w:cs="宋体"/>
          <w:bCs/>
          <w:color w:val="auto"/>
          <w:sz w:val="21"/>
          <w:highlight w:val="none"/>
        </w:rPr>
        <w:t xml:space="preserve">十四、合同生效及其它</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合同经双方法定代表人或授权委托代表人签字并加盖单位公章后生效。</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14.2本合同未尽事宜，遵照中华人民共和国现行法律法规有关条文执行。</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14.3 本合同正本一式两份，具有同等法律效力，甲方、乙方各执一份。</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甲方：                        乙方： </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地址：                        地址： </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        法定代表人或授权代表：</w:t>
      </w:r>
      <w:r/>
    </w:p>
    <w:p>
      <w:pPr>
        <w:pStyle w:val="1012"/>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联系电话：                    联系电话：          </w:t>
      </w:r>
      <w:r/>
    </w:p>
    <w:p>
      <w:pPr>
        <w:pStyle w:val="1012"/>
        <w:jc w:val="both"/>
        <w:spacing w:line="360" w:lineRule="auto"/>
        <w:rPr>
          <w:rFonts w:hint="eastAsia" w:hAnsi="宋体" w:cs="宋体"/>
          <w:color w:val="auto"/>
          <w:sz w:val="21"/>
          <w:highlight w:val="none"/>
        </w:rPr>
      </w:pPr>
      <w:r>
        <w:rPr>
          <w:rFonts w:hint="eastAsia" w:hAnsi="宋体" w:cs="宋体"/>
          <w:color w:val="auto"/>
          <w:sz w:val="21"/>
          <w:highlight w:val="none"/>
        </w:rPr>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800"/>
        <w:rPr>
          <w:rFonts w:hint="eastAsia"/>
          <w:color w:val="auto"/>
          <w:highlight w:val="none"/>
          <w:lang w:val="en-US" w:eastAsia="zh-CN"/>
        </w:rPr>
      </w:pPr>
      <w:r>
        <w:rPr>
          <w:rFonts w:hint="eastAsia"/>
          <w:b/>
          <w:bCs/>
          <w:color w:val="auto"/>
          <w:highlight w:val="none"/>
          <w:lang w:val="en-US" w:eastAsia="zh-CN"/>
        </w:rPr>
        <w:t xml:space="preserve">附件一：</w:t>
      </w:r>
      <w:r>
        <w:rPr>
          <w:rFonts w:hint="eastAsia" w:ascii="宋体" w:hAnsi="宋体" w:cs="宋体"/>
          <w:b/>
          <w:bCs/>
          <w:color w:val="auto"/>
          <w:szCs w:val="21"/>
          <w:highlight w:val="none"/>
        </w:rPr>
        <w:t xml:space="preserve">考核标准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考核标准详见《陪护（护工）工作质量检查表（病区）》，每月考核一次，考核分为90分合格，低于90分每下降1</w:t>
      </w:r>
      <w:r>
        <w:rPr>
          <w:rFonts w:hint="eastAsia" w:ascii="宋体" w:hAnsi="宋体" w:cs="宋体"/>
          <w:color w:val="auto"/>
          <w:szCs w:val="21"/>
          <w:highlight w:val="none"/>
        </w:rPr>
        <w:t xml:space="preserve">分扣壹佰元（从支付合同款项中扣除）。</w:t>
      </w:r>
      <w:r/>
    </w:p>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陪护（护工）工作质量检查表（病区）</w:t>
      </w:r>
      <w:r/>
    </w:p>
    <w:tbl>
      <w:tblPr>
        <w:tblStyle w:val="799"/>
        <w:tblW w:w="9168" w:type="dxa"/>
        <w:jc w:val="center"/>
        <w:tblLayout w:type="fixed"/>
        <w:tblCellMar>
          <w:left w:w="108" w:type="dxa"/>
          <w:top w:w="0" w:type="dxa"/>
          <w:right w:w="108" w:type="dxa"/>
          <w:bottom w:w="0" w:type="dxa"/>
        </w:tblCellMar>
        <w:tblLook w:val="04A0" w:firstRow="1" w:lastRow="0" w:firstColumn="1" w:lastColumn="0" w:noHBand="0" w:noVBand="1"/>
      </w:tblPr>
      <w:tblGrid>
        <w:gridCol w:w="1345"/>
        <w:gridCol w:w="5225"/>
        <w:gridCol w:w="1805"/>
        <w:gridCol w:w="793"/>
      </w:tblGrid>
      <w:tr>
        <w:trPr>
          <w:jc w:val="center"/>
          <w:trHeight w:val="20"/>
          <w:tblHeader/>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52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基本要求（10分）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一人不符扣1分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2.无有效投诉。</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有投诉扣5分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3.熟悉本职工作中应知应会的知识。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不知晓扣2分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行为规范 （15分）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4.认真执行岗位职责，严格遵守公司规章制度、操作常规及流程。</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6.上班不玩手机，不扎堆聊天，不脱岗，不吃零食。不暗示和索取病人的食物与钱财，不将私人物品带入病区内。</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7.进入病房先敲门，未经病人允许不随便动、拿病人的物品，做到三轻（走路轻、说话轻、动作轻）。</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8.不得参与专业医疗护理活动、医疗技术工作。</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9.爱护公物、节约能源。</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10.不得窃取医院财务，私用医疗器械、药品、敷料。</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一项不符扣3分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床单元质量（15分）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11.协助保洁工人做好病房卫生，床头柜物品摆放整齐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床下无杂物，便器、盆类上架。</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12.根据等级护理护理要求每周及时更换床上用品，必要时随脏随换。</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13.掌握消毒液浓度，做好消毒隔离工作，防止交叉感染。做好垃圾分类处理。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陪护工作质量（60分）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15.查房时陪护在病人身边，掌握病人病情，饮食及分级护理的注意事项，配合医生、护士做好病人的生活服务。</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17.病人衣服保持清洁、干燥、平整，如有需要及时更换。协助病人大小便，及时清洗便器，服务中注意保护好病人的隐私。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19.一对一陪护病人的岗位，夜间能随叫随醒。不能擅离职守，带病人离开病区要经医务人员同意；严格遵守请假制度。如有特发情况上报上报主管及医护人员。</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人员配置（10分）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人员不能按照采购人随时调配，一次性扣10分/人。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一次性扣10分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05"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被考核人：                          考核人：                      考核时间：    </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89"/>
        <w:rPr>
          <w:color w:val="auto"/>
          <w:highlight w:val="none"/>
        </w:rPr>
      </w:pPr>
      <w:r/>
      <w:bookmarkStart w:id="61" w:name="_Toc5650"/>
      <w:r>
        <w:rPr>
          <w:rFonts w:hint="eastAsia"/>
          <w:color w:val="auto"/>
          <w:highlight w:val="none"/>
        </w:rPr>
        <w:t xml:space="preserve">第四章 采购需求</w:t>
      </w:r>
      <w:bookmarkEnd w:id="60"/>
      <w:r/>
      <w:bookmarkEnd w:id="61"/>
      <w:r/>
      <w:r/>
    </w:p>
    <w:p>
      <w:pPr>
        <w:ind w:firstLine="422"/>
        <w:pageBreakBefore w:val="0"/>
        <w:spacing w:line="360" w:lineRule="auto"/>
        <w:widowControl w:val="off"/>
        <w:rPr>
          <w:rFonts w:hint="eastAsia" w:ascii="宋体" w:hAnsi="宋体" w:cs="宋体"/>
          <w:b/>
          <w:bCs/>
          <w:color w:val="auto"/>
          <w:szCs w:val="21"/>
          <w:highlight w:val="none"/>
        </w:rPr>
      </w:pPr>
      <w:r/>
      <w:bookmarkStart w:id="62" w:name="_Toc319408306"/>
      <w:r>
        <w:rPr>
          <w:rFonts w:hint="eastAsia" w:ascii="宋体" w:hAnsi="宋体" w:cs="宋体"/>
          <w:b/>
          <w:bCs/>
          <w:color w:val="auto"/>
          <w:szCs w:val="21"/>
          <w:highlight w:val="none"/>
        </w:rPr>
        <w:t xml:space="preserve">注：本章内容里斜体且有下划线部分为实质性要求和条件，投标文件不满足的，视为无效投标处理。</w:t>
      </w:r>
      <w:r/>
    </w:p>
    <w:p>
      <w:pPr>
        <w:pStyle w:val="791"/>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bookmarkStart w:id="64" w:name="_Toc12248"/>
      <w:r>
        <w:rPr>
          <w:rFonts w:hint="eastAsia" w:ascii="宋体" w:hAnsi="宋体" w:eastAsia="宋体" w:cs="宋体"/>
          <w:b/>
          <w:bCs/>
          <w:color w:val="auto"/>
          <w:spacing w:val="-1"/>
          <w:sz w:val="21"/>
          <w:szCs w:val="21"/>
          <w:highlight w:val="none"/>
        </w:rPr>
        <w:t xml:space="preserve">一、项目属性：服务类项目</w:t>
      </w:r>
      <w:bookmarkEnd w:id="63"/>
      <w:r/>
      <w:bookmarkEnd w:id="64"/>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3.政府采购中实施本国产品标准及相关政策</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3.1本项目对采购本国产品给予政策支持，具体内容见招标文件“第五章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4.采购标的清单</w:t>
      </w:r>
      <w:r/>
    </w:p>
    <w:tbl>
      <w:tblPr>
        <w:tblStyle w:val="799"/>
        <w:tblW w:w="0" w:type="auto"/>
        <w:tblInd w:w="50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4410"/>
        <w:gridCol w:w="3217"/>
      </w:tblGrid>
      <w:tr>
        <w:trPr>
          <w:trHeight w:val="7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0"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对应中小企业划分标准所属行业</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0"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京沪高级医学中心和急诊监护室陪护服务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其他未列明行业 </w:t>
            </w:r>
            <w:r/>
          </w:p>
        </w:tc>
      </w:tr>
    </w:tbl>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5.投标人必须对技术要求和商务要求中的实质性要求</w:t>
      </w:r>
      <w:r>
        <w:rPr>
          <w:rFonts w:hint="eastAsia" w:ascii="宋体" w:hAnsi="宋体" w:eastAsia="宋体" w:cs="宋体"/>
          <w:b/>
          <w:bCs/>
          <w:color w:val="auto"/>
          <w:szCs w:val="21"/>
          <w:highlight w:val="none"/>
        </w:rPr>
        <w:t xml:space="preserve">（</w:t>
      </w:r>
      <w:r>
        <w:rPr>
          <w:rFonts w:hint="eastAsia" w:ascii="宋体" w:hAnsi="宋体" w:eastAsia="宋体" w:cs="宋体"/>
          <w:b/>
          <w:bCs/>
          <w:i/>
          <w:color w:val="auto"/>
          <w:szCs w:val="21"/>
          <w:highlight w:val="none"/>
          <w:u w:val="single"/>
        </w:rPr>
        <w:t xml:space="preserve">斜体且有下划线部分</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逐条做出明确响应，填写《符合性审查响应对照表》。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6.投标人需对技术要求（未加斜体下划线的非实质性要求）逐条做出明确响应，填写《技术要求响应及偏离表》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7.投标人需对商务要求（未加斜体下划线的非实质性要求）逐条做出明确响应，填写《商务要求响应及偏离表》</w:t>
      </w:r>
      <w:bookmarkEnd w:id="62"/>
      <w:r/>
      <w:r/>
    </w:p>
    <w:p>
      <w:pPr>
        <w:ind w:left="0"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5" w:name="_Toc55204181"/>
      <w:r>
        <w:rPr>
          <w:rFonts w:hint="eastAsia" w:ascii="宋体" w:hAnsi="宋体" w:eastAsia="宋体" w:cs="宋体"/>
          <w:b/>
          <w:bCs/>
          <w:color w:val="auto"/>
          <w:highlight w:val="none"/>
        </w:rPr>
        <w:t xml:space="preserve">二、项目简介</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扬州大学附属医院西区京沪高级医学中心病房（西区12病区）和西区急诊ICU护工服务进行采</w:t>
      </w:r>
      <w:r>
        <w:rPr>
          <w:rFonts w:hint="eastAsia" w:ascii="宋体" w:hAnsi="宋体" w:eastAsia="宋体" w:cs="宋体"/>
          <w:color w:val="auto"/>
          <w:szCs w:val="21"/>
          <w:highlight w:val="none"/>
        </w:rPr>
        <w:t xml:space="preserve">购。</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Cs w:val="21"/>
          <w:highlight w:val="none"/>
          <w:u w:val="single"/>
        </w:rPr>
        <w:t xml:space="preserve">本项目最高限价144万元（即72万元/年），医院固定支付陪护人员费用最高限价9250元/月/人，临时增加陪护人员费用最高限价315元/人/天，投标报价超过最高限价做无效投标处理。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本次项目固定陪护人数不得超过6人（不包含项目经理），临时增加陪护人员数量由各科室自主调配，并签字确认。</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投标人对陪护成本进行月度核算，当项目执行时间达到年度周期的一半（即6个月），累计费用已超过中标价格总额50％时，中标人应向采购人发出中期成本提醒，共同评估后续事宜。</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项目基本需求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1.固定陪护安排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服务内容：扬州大学附属医院西区京沪高级医学中心病房和西区急诊ICU等区域，投标人安排固定项目经理1名，生活护理员不超过6人（实际人数以病区需求为准）。生活护理员为病区患者提供24小时生活护理服务（具体工作时间根据病区需求调整，服从病区工作安排），每月每人休息2天。</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1.2服务范围：协助患者完成洗漱、饮食、翻身、如厕等基础生活护理，配合医护人员进行日常护理工作。</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1.3费用标准：固定支付陪护人员费用最高限价9250元/月/人，费用包含护理员薪酬、公司管理费及开票税费等。</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2.临时陪护安排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2.1申请条件：当病区患者数量增加或特殊护理需求时，可申请临时增加陪护人员，工作时间为12小时工作制。</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2.2服务范围：满足采购人服务要求，服从采购人工作安排。</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2.3费用标准：临时增加陪护人员费用最高限价315元/人/天，按实际工作天数结算费用，费用包含护理员薪酬、公司管理费及开票税费等。</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3.人员要求：综合素质高于普通病房护工，要求不大于50岁，女性，能吃苦耐劳，初中及以上学历，形象气质佳，语言沟通能力强，具有强烈的隐私保护意识。</w:t>
      </w:r>
      <w:r/>
    </w:p>
    <w:p>
      <w:pPr>
        <w:pStyle w:val="800"/>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信息化管理：配置智能化陪护业务信息系统，支持陪护人员管理、排班调度、在岗监管、质量管控、院感防控、考核评价全流程数字化闭环管理；支持服务全程留痕溯源、电子档案归档、数据统计及风险预警，满足采购人日常监管、考核等，实现陪护服务全过程可控、可查、可溯源。</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技术要求</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1.服务目标：围绕“以病人为中心、服务于临床、精细管理、用心服务、安全可靠”的服务理念。增加生活照料服务供给，有利于精准对接人民群众多样化、多层次的健康需求。护工均应持证上岗，</w:t>
      </w:r>
      <w:r>
        <w:rPr>
          <w:rFonts w:hint="eastAsia" w:ascii="宋体" w:hAnsi="宋体" w:eastAsia="宋体" w:cs="宋体"/>
          <w:color w:val="auto"/>
          <w:sz w:val="21"/>
          <w:szCs w:val="21"/>
          <w:highlight w:val="none"/>
        </w:rPr>
        <w:t xml:space="preserve">严格按护工职责、相关操作规程及服务内容做好生活照料。</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素质要求：具备良好的职业道德、协作意识和人文关怀素养；熟悉医疗机构规章制度和护工岗位职责。掌握生活照护的基本知识和技能，消毒隔离的基本知识和技术，沟通的基本技巧和方法；具备安全意识，掌握安全</w:t>
      </w:r>
      <w:r>
        <w:rPr>
          <w:rFonts w:hint="eastAsia" w:ascii="宋体" w:hAnsi="宋体" w:eastAsia="宋体" w:cs="宋体"/>
          <w:color w:val="auto"/>
          <w:sz w:val="21"/>
          <w:szCs w:val="21"/>
          <w:highlight w:val="none"/>
        </w:rPr>
        <w:t xml:space="preserve">防护、急救的基本知识和技术；常用药物服用的基本知识和方法；生命体征正常值等。</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i/>
          <w:iCs/>
          <w:color w:val="auto"/>
          <w:sz w:val="21"/>
          <w:szCs w:val="21"/>
          <w:highlight w:val="none"/>
          <w:u w:val="single"/>
        </w:rPr>
        <w:t xml:space="preserve">中标人对相应岗位有充足的后备人员储备，满足医院日常需求。（提供承诺书加盖投标人公章，格式自拟）</w:t>
      </w:r>
      <w:r>
        <w:rPr>
          <w:rFonts w:hint="eastAsia" w:ascii="宋体" w:hAnsi="宋体" w:eastAsia="宋体" w:cs="宋体"/>
          <w:color w:val="auto"/>
          <w:sz w:val="21"/>
          <w:szCs w:val="21"/>
          <w:highlight w:val="none"/>
        </w:rPr>
        <w:t xml:space="preserve">护工管理人员应建立24小时值班制，以保证患者及时请到护工。为保障服务质量、管理、责任上的统一，不接受二次转包。</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4.投标人需建立各类制度和应急预案（如医院公共突发事件的保障、生产安全、特殊事件、应急事件等突发事件的处理等），并培训相关人员达到相关要求，按照预案实施。</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需制定各岗位较为详尽的培训计划及培训方案，定期开展护工培训，培训台账资料及时完善，须每月理论培训+操作考核，（如遇院内有重大事件需配合完成培训与考核）。凡新招聘的护工须进行岗前培训，经理论加操作考核合格后方可上岗，保证采购人正常业务不受影响。</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6.投标人需制定的详细的交接</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详细完整的方案且符合医院管理实际要求、不可影响医院正常运行，在规定时间内进行资料移交、人员安排等措施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保障陪护外包服务交接顺利进行。</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7.投标人需制定详尽的本项目工作组织实施方案，保障陪护外包服务高效运行，根据工作需要，结合医院规章制度，具有各项管理制度、岗位工作标准、各类日巡查表格、操作流程、应急预案等制度内容。</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需制定完备、科学和先进管理服务方案，按照质量标准、工作流程及培训要求制定工作计划，并按计划完成季、月、周、日工作重点及应急预案演练，并建立相关工作台账，每月汇总装订，以提升采购人陪护服务水平。投标人管理部门须按工作计划跟踪工作状态，监督、检查、考核护工的工作质量和操作流程，应用计算机等现代化管理手段，提高管理效率。人员管理、工作调度、工作反馈考核等应做到信息化管理。</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人对其在我院医疗服务区域内从事患者陪护服务的护工，统一建立档案进行管理。需人员结构合理，分工明确。护工持有相关专业所需的上岗证。所有人员要求身体素质好，懂礼貌，善服务，无不良行为记录，身心健康（每年必须按规范至少体检一次，合格后方可上岗，费用自理，确保健康证在有效期内），重要岗位（主管经理等）人员，经采购人考核通过方可录用，项目管理人员需要具有丰富的工作经验，较强的沟通和承压能力。</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10.投标人需严格执行保密管理制度，包含院方及患者个人信息、病情、隐私等必须严格按照保密管理要求，严格把关人员素质，做到相关内容不外传</w:t>
      </w:r>
      <w:r>
        <w:rPr>
          <w:rFonts w:hint="eastAsia" w:ascii="宋体" w:hAnsi="宋体" w:eastAsia="宋体" w:cs="宋体"/>
          <w:color w:val="auto"/>
          <w:sz w:val="21"/>
          <w:szCs w:val="21"/>
          <w:highlight w:val="none"/>
        </w:rPr>
        <w:t xml:space="preserve">、相关资料不外带。</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11.投标人需配合采购人做好迎接各类检查和突发性公共卫生事件等工作。</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12.本项目实行百分倒扣考核奖罚制，建立考核小组，通过定期检查和不定期抽查，对不符合考核要求的罚款，通过考核机制促进服务单位管理服务质量的提升，考核标准详见“五、考核要求”。</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13.如因工作调整岗位时，中标方应向采购人书面报告批准，护工数量配备按合同履行。护工与患者比例合适（如遇疫情发生根据院感要求执行）。</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14.投标人管理团队每周对所服务科室的护工工作质量及服</w:t>
      </w:r>
      <w:r>
        <w:rPr>
          <w:rFonts w:hint="eastAsia" w:ascii="宋体" w:hAnsi="宋体" w:eastAsia="宋体" w:cs="宋体"/>
          <w:color w:val="auto"/>
          <w:sz w:val="21"/>
          <w:szCs w:val="21"/>
          <w:highlight w:val="none"/>
        </w:rPr>
        <w:t xml:space="preserve">务内容的落实情况进行检查并建立台账，主管每日至所辖服务区域对照工作标准完成相关检查并记录，同时主动征求院方监管部门和被服务科室及患者的意见和建议，针对提出的问题及时落实整改到位；同时院方每年组织各被服务部门对护工服务总体进行综合检查及考核，考核成绩纳入年终合同评价。</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15.如接到投诉须在半小时内（非工作时间段4小时内）积极响应，处理、协调所投诉患者、家属及科室的投诉意见，认真对待、妥善处理投诉意见</w:t>
      </w:r>
      <w:r>
        <w:rPr>
          <w:rFonts w:hint="eastAsia" w:ascii="宋体" w:hAnsi="宋体" w:eastAsia="宋体" w:cs="宋体"/>
          <w:color w:val="auto"/>
          <w:sz w:val="21"/>
          <w:szCs w:val="21"/>
          <w:highlight w:val="none"/>
        </w:rPr>
        <w:t xml:space="preserve">，确保投诉得到落实，并持续改进到位。</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本项目启动与转场时，必须自行按国家相关法律法规妥善安排护工所有用工人员，并做好财、物、台账交接工作，不得影响医院正常运转。通过招标采购产生中标单位，中标方须自中标通知书发出之日起，应积极与采购人原陪护公司联系协商，并在1周内完成与原陪护公司的交接工作，并保证人员全部到位，否则，视为中标方不具备合同履约能力，由此造成的一切后果由中标方负责。</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bookmarkStart w:id="66" w:name="_Toc479929554"/>
      <w:r/>
      <w:bookmarkStart w:id="67" w:name="_Toc479928780"/>
      <w:r/>
      <w:bookmarkStart w:id="68" w:name="_Toc479929474"/>
      <w:r/>
      <w:bookmarkStart w:id="69" w:name="_Toc479931448"/>
      <w:r>
        <w:rPr>
          <w:rFonts w:hint="eastAsia" w:ascii="宋体" w:hAnsi="宋体" w:eastAsia="宋体" w:cs="宋体"/>
          <w:color w:val="auto"/>
          <w:sz w:val="21"/>
          <w:szCs w:val="21"/>
          <w:highlight w:val="none"/>
        </w:rPr>
        <w:t xml:space="preserve">.改善服务要求</w:t>
      </w:r>
      <w:bookmarkEnd w:id="66"/>
      <w:r/>
      <w:bookmarkEnd w:id="67"/>
      <w:r/>
      <w:bookmarkEnd w:id="68"/>
      <w:r/>
      <w:bookmarkEnd w:id="69"/>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17.1投标人要负责处理与陪护相关不良事件如：投诉</w:t>
      </w:r>
      <w:r>
        <w:rPr>
          <w:rFonts w:hint="eastAsia" w:ascii="宋体" w:hAnsi="宋体" w:eastAsia="宋体" w:cs="宋体"/>
          <w:color w:val="auto"/>
          <w:sz w:val="21"/>
          <w:szCs w:val="21"/>
          <w:highlight w:val="none"/>
        </w:rPr>
        <w:t xml:space="preserve">、纠纷、患者跌倒及赔付，保证护工工作有序规范的安全运行。</w:t>
      </w:r>
      <w:r/>
    </w:p>
    <w:p>
      <w:pPr>
        <w:pStyle w:val="870"/>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做好日常管理，加强巡查，对每位服务的出院患者均应完成满意度测评并做好分析、评价，整改，整改计划等相关内容整理成册月初上交管理部门。（提供智能化的患者满意度测评软件），了解医院各部门的要求，及时调整服务策略，改善服务水平。</w:t>
      </w:r>
      <w:r/>
    </w:p>
    <w:p>
      <w:pPr>
        <w:numPr>
          <w:ilvl w:val="0"/>
          <w:numId w:val="2"/>
        </w:numPr>
        <w:ind w:left="0"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商务要求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合同履行期限：本项目服务期从中标之日起合同期两年，合同一年一签。合同期内，出现服务考核不合格情况，或因采购人实际工作需要，可单方面随时终止合同，投标人需无条件服从。</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2.付款方式：</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2.1合同款支付条件：服务方须向采购人开具合规有效发票，提交双方共同确认的服务内容。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合同款支付方式：从合同签订之日起开始计算服务费，服务费用按每月据实结算，年度总费用不得超过72万元；采购人依据考核标准对服务方月度服务完成情况开展考核，考核合格后，按服务方实际履约工作量结算当月服务费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考核要求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考核标准详见《陪护（护工）工作质量检查表（病区）》，每月考核一次，考核分为90分合格，低于90分每下降1分扣壹佰元（从支付合同款项中扣除）。</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firstLine="210"/>
        <w:jc w:val="center"/>
        <w:spacing w:line="360" w:lineRule="auto"/>
        <w:tabs>
          <w:tab w:val="left" w:pos="360" w:leader="none"/>
          <w:tab w:val="left" w:pos="43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陪护（护工）工作质量检查表（病区）</w:t>
      </w:r>
      <w:r/>
    </w:p>
    <w:tbl>
      <w:tblPr>
        <w:tblStyle w:val="799"/>
        <w:tblW w:w="9168" w:type="dxa"/>
        <w:jc w:val="center"/>
        <w:tblLayout w:type="fixed"/>
        <w:tblCellMar>
          <w:left w:w="108" w:type="dxa"/>
          <w:top w:w="0" w:type="dxa"/>
          <w:right w:w="108" w:type="dxa"/>
          <w:bottom w:w="0" w:type="dxa"/>
        </w:tblCellMar>
        <w:tblLook w:val="04A0" w:firstRow="1" w:lastRow="0" w:firstColumn="1" w:lastColumn="0" w:noHBand="0" w:noVBand="1"/>
      </w:tblPr>
      <w:tblGrid>
        <w:gridCol w:w="1345"/>
        <w:gridCol w:w="5225"/>
        <w:gridCol w:w="1805"/>
        <w:gridCol w:w="793"/>
      </w:tblGrid>
      <w:tr>
        <w:trPr>
          <w:jc w:val="center"/>
          <w:trHeight w:val="20"/>
          <w:tblHeader/>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522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基本要求（10分）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1.按要求着装，仪表端庄；文明用语，微笑服务，礼貌待人。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一人不符扣1分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2.无有效投诉。</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有投诉扣5分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3.熟悉本职工作中应知应会的知识。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不知晓扣2分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行为规范 （15分）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4.认真执行岗位职责，严格遵守公司规章制度、操作常规及流程。</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5.服从医生、护士及主管的管理，不得与病人家属、医生、护士发生口角。</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6.上班不玩手机，不扎堆聊天，不脱岗，不吃零食。不暗示和索取病人的食物与钱财，不将私人物品带入病区内。</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一人不符扣2分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7.进入病房先敲门，未经病人允许不随便动、拿病人的物品，做到三轻（走路轻、说话轻、动作轻）。</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8.不得参与专业医疗护理活动、医疗技术工作。</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9.爱护公物、节约能源。</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10.不得窃取医院财务，私用医疗器械、药品、敷料。</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一项不符扣3分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床单元质量（15分）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11.协助保洁工人做好病房卫生，床头柜物品摆放整齐</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床下无杂物，便器、盆类上架。</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12.根据等级护理护理要求每周及时更换床上用品，必要时随脏随换。</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13.掌握消毒液浓度，做好消毒隔离工作，防止交叉感染。做好垃圾分类处理。</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bookmarkStart w:id="70" w:name="OLE_LINK12"/>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陪护工作质量（60分）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14.知晓病人的输液速度，并注意观察，如有改变及时告知护士，保持各导管顺畅，防止管道受压扭曲、拉扯，发现问题及时通知护士。</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15.查房时陪护在病人身边，掌握病人病情，饮食及分级护理的注意事项，配合医生、护士做好病人的生活服务。</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16.维护病人的舒适，保持病人皮肤的完整性，按要求为病人喂食、喂水、翻身、拍背、擦浴、洗漱、梳头、床上洗头等，做到“三短，六洁”。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17.病人衣服保持清洁、干燥、平整，如有需要及时更换。协助病人大小便，及时清洗便器，服务中注意保护好病人的隐私。</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18.注意病人精神状态，睡眠情况，情绪不稳定要严密看管，并及时告知管床医生及护士及病人家属。</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19.一对一陪护病人的岗位，夜间能随叫随醒。不能擅离职守，带病人离开病区要经医务人员同意；严格遵守请假制度。如有特发情况上报上报主管及医护人员。</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一项不符扣2分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人员配置（10分）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人员不能按照采购人随时调配，一次性扣10分/人。</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一次性扣10分</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9"/>
        </w:trPr>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c>
          <w:tcPr>
            <w:tcBorders>
              <w:top w:val="single" w:color="auto" w:sz="4" w:space="0"/>
              <w:left w:val="single" w:color="auto" w:sz="4" w:space="0"/>
              <w:bottom w:val="single" w:color="auto" w:sz="4" w:space="0"/>
              <w:right w:val="single" w:color="auto" w:sz="4" w:space="0"/>
            </w:tcBorders>
            <w:tcW w:w="5225"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05"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bookmarkEnd w:id="70"/>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被考核人：                          考核人：                      考核时间：    </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pStyle w:val="789"/>
        <w:rPr>
          <w:color w:val="auto"/>
          <w:highlight w:val="none"/>
        </w:rPr>
      </w:pPr>
      <w:r/>
      <w:bookmarkStart w:id="71" w:name="_Toc30892"/>
      <w:r/>
      <w:bookmarkStart w:id="72" w:name="_Toc29995"/>
      <w:r>
        <w:rPr>
          <w:rFonts w:hint="eastAsia"/>
          <w:color w:val="auto"/>
          <w:highlight w:val="none"/>
        </w:rPr>
        <w:t xml:space="preserve">第五章 评标方法及评标标准</w:t>
      </w:r>
      <w:bookmarkEnd w:id="65"/>
      <w:r/>
      <w:bookmarkEnd w:id="71"/>
      <w:r/>
      <w:bookmarkEnd w:id="72"/>
      <w:r/>
      <w:r/>
    </w:p>
    <w:p>
      <w:pPr>
        <w:pStyle w:val="103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37"/>
        <w:ind w:firstLine="420"/>
        <w:spacing w:before="0" w:after="0"/>
        <w:rPr>
          <w:rFonts w:hint="eastAsia" w:ascii="宋体" w:hAnsi="宋体" w:cs="宋体"/>
          <w:color w:val="auto"/>
          <w:sz w:val="21"/>
          <w:szCs w:val="21"/>
          <w:highlight w:val="none"/>
        </w:rPr>
      </w:pPr>
      <w:r/>
      <w:bookmarkStart w:id="73" w:name="_Toc449016388"/>
      <w:r/>
      <w:bookmarkStart w:id="74" w:name="_Toc449017024"/>
      <w:r>
        <w:rPr>
          <w:rFonts w:hint="eastAsia" w:ascii="宋体" w:hAnsi="宋体" w:cs="宋体"/>
          <w:color w:val="auto"/>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选取中标候选人的原则</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73"/>
      <w:r/>
      <w:bookmarkEnd w:id="74"/>
      <w:r/>
      <w:r/>
    </w:p>
    <w:p>
      <w:pPr>
        <w:ind w:firstLine="441"/>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本项目专门面向中小企业：是</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141"/>
      </w:tblGrid>
      <w:tr>
        <w:trPr>
          <w:trHeight w:val="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专门面向中小企业</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1"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是</w:t>
            </w:r>
            <w:r/>
          </w:p>
        </w:tc>
      </w:tr>
    </w:tbl>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color w:val="auto"/>
          <w:highlight w:val="none"/>
        </w:rPr>
        <w:t xml:space="preserve">：</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（1）本项目对小型和微型企业产品给予10%的扣除价格，用扣除后的价格参与评审。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（1）本项目对残疾人福利性单位视同小型、微型企业，给予10%的价格扣除，用扣除后的价格参与评审。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（1）本项目对监狱和戒毒企业（简称监狱企业）视同小型、微型企业，给予10%的价格扣除，用扣除后的价格参与评审。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6.联合体各方均为小型、微型企业（残疾人福利单位、监狱企业）的，联合体享受10%价格扣除，用扣除后的价格参与评审。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7.大中型企业向小型、微型企业分包的，分包意向协议约定小型、微型企业合同份额占到合同总金额30%以上的，给予4%的价格扣除，用扣除后的价格参与评审。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173"/>
        <w:gridCol w:w="6500"/>
        <w:gridCol w:w="876"/>
      </w:tblGrid>
      <w:tr>
        <w:trPr>
          <w:trHeight w:val="42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75" w:name="_Toc18779"/>
            <w:r>
              <w:rPr>
                <w:rFonts w:hint="eastAsia" w:ascii="宋体" w:hAnsi="宋体" w:cs="宋体"/>
                <w:b/>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评标细则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分值</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一、价格分（30分）</w:t>
            </w:r>
            <w:r/>
          </w:p>
        </w:tc>
      </w:tr>
      <w:tr>
        <w:trPr>
          <w:trHeight w:val="1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固定陪护价格分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满足招标文件要求的最低投标报价为评标基准价，其价格分为满分。其他投标人的价格分按照下列公式计算：投标报价得分=(评标基准价／投标报价）×20×100%，分值四舍五入保留小数点后2位。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20分</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临时陪护价格分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满足招标文件要求的最低投标报价为评标基准价，其价格分为满分。其他投标人的价格分按照下列公式计算：投标报价得分=(评标基准价／投标报价）×10×100%，分值四舍五入保留小数点后2位。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10分</w:t>
            </w:r>
            <w:r/>
          </w:p>
        </w:tc>
      </w:tr>
      <w:tr>
        <w:trPr>
          <w:trHeight w:val="53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w:t>
            </w:r>
            <w:r>
              <w:rPr>
                <w:rFonts w:hint="eastAsia" w:ascii="宋体" w:hAnsi="宋体" w:cs="宋体"/>
                <w:b/>
                <w:color w:val="auto"/>
                <w:szCs w:val="21"/>
                <w:highlight w:val="none"/>
                <w:lang w:val="en-US" w:eastAsia="zh-CN"/>
              </w:rPr>
              <w:t xml:space="preserve">技术</w:t>
            </w:r>
            <w:r>
              <w:rPr>
                <w:rFonts w:hint="eastAsia" w:ascii="宋体" w:hAnsi="宋体" w:cs="宋体"/>
                <w:b/>
                <w:color w:val="auto"/>
                <w:szCs w:val="21"/>
                <w:highlight w:val="none"/>
              </w:rPr>
              <w:t xml:space="preserve">部分</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rPr>
              <w:t xml:space="preserve">分）</w:t>
            </w:r>
            <w:r/>
          </w:p>
        </w:tc>
      </w:tr>
      <w:tr>
        <w:trPr>
          <w:trHeight w:val="2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针对本项目提供</w:t>
            </w:r>
            <w:r>
              <w:rPr>
                <w:rFonts w:hint="eastAsia" w:ascii="宋体" w:hAnsi="宋体" w:eastAsia="宋体" w:cs="宋体"/>
                <w:color w:val="auto"/>
                <w:szCs w:val="21"/>
                <w:highlight w:val="none"/>
                <w:lang w:val="en-US" w:eastAsia="zh-CN"/>
              </w:rPr>
              <w:t xml:space="preserve">服务方案</w:t>
            </w:r>
            <w:r>
              <w:rPr>
                <w:rFonts w:hint="eastAsia" w:ascii="宋体" w:hAnsi="宋体" w:eastAsia="宋体" w:cs="宋体"/>
                <w:color w:val="auto"/>
                <w:szCs w:val="21"/>
                <w:highlight w:val="none"/>
              </w:rPr>
              <w:t xml:space="preserve">进行评审：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投标人分别提供以下对应四项方案，每单项方案满分</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分，本项满分</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（1）管理实施方案</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（2）管理</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方案；</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保密</w:t>
            </w:r>
            <w:r>
              <w:rPr>
                <w:rFonts w:hint="eastAsia" w:ascii="宋体" w:hAnsi="宋体" w:eastAsia="宋体" w:cs="宋体"/>
                <w:color w:val="auto"/>
                <w:szCs w:val="21"/>
                <w:highlight w:val="none"/>
              </w:rPr>
              <w:t xml:space="preserve">管理方案；</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（4）档案管理方案</w:t>
            </w:r>
            <w:r>
              <w:rPr>
                <w:rFonts w:hint="eastAsia" w:ascii="宋体" w:hAnsi="宋体" w:eastAsia="宋体" w:cs="宋体"/>
                <w:color w:val="auto"/>
                <w:szCs w:val="21"/>
                <w:highlight w:val="none"/>
                <w:lang w:eastAsia="zh-CN"/>
              </w:rPr>
              <w:t xml:space="preserve">；</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jc w:val="lef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方案内容一般，结构基本完整，具有少量细节不完善的得1分；内容不符合要求，或未提供方案的不得分。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r>
      <w:tr>
        <w:trPr>
          <w:trHeight w:val="90"/>
        </w:trPr>
        <w:tc>
          <w:tcPr>
            <w:tcBorders>
              <w:top w:val="none" w:color="000000" w:sz="4" w:space="0"/>
              <w:left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w:t>
            </w:r>
            <w:r/>
          </w:p>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none" w:color="000000" w:sz="4" w:space="0"/>
              <w:left w:val="none" w:color="000000" w:sz="4" w:space="0"/>
              <w:right w:val="single" w:color="000000" w:sz="8" w:space="0"/>
            </w:tcBorders>
            <w:tcMar>
              <w:left w:w="108" w:type="dxa"/>
              <w:top w:w="0" w:type="dxa"/>
              <w:right w:w="108" w:type="dxa"/>
              <w:bottom w:w="0" w:type="dxa"/>
            </w:tcMar>
            <w:tcW w:w="1173"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交接方案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提供接管方案进行评审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rPr>
              <w:t xml:space="preserve">完整</w:t>
            </w:r>
            <w:r>
              <w:rPr>
                <w:rFonts w:hint="eastAsia" w:ascii="宋体" w:hAnsi="宋体" w:cs="宋体"/>
                <w:color w:val="auto"/>
                <w:szCs w:val="21"/>
                <w:highlight w:val="none"/>
                <w:lang w:val="en-US" w:eastAsia="zh-CN"/>
              </w:rPr>
              <w:t xml:space="preserve">的接管方案且</w:t>
            </w:r>
            <w:r>
              <w:rPr>
                <w:rFonts w:hint="eastAsia" w:ascii="宋体" w:hAnsi="宋体" w:cs="宋体"/>
                <w:color w:val="auto"/>
                <w:szCs w:val="21"/>
                <w:highlight w:val="none"/>
              </w:rPr>
              <w:t xml:space="preserve">符合医院管理实际</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、不</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影响医院</w:t>
            </w:r>
            <w:r>
              <w:rPr>
                <w:rFonts w:hint="eastAsia" w:ascii="宋体" w:hAnsi="宋体" w:cs="宋体"/>
                <w:color w:val="auto"/>
                <w:szCs w:val="21"/>
                <w:highlight w:val="none"/>
                <w:lang w:val="en-US" w:eastAsia="zh-CN"/>
              </w:rPr>
              <w:t xml:space="preserve">正常</w:t>
            </w:r>
            <w:r>
              <w:rPr>
                <w:rFonts w:hint="eastAsia" w:ascii="宋体" w:hAnsi="宋体" w:cs="宋体"/>
                <w:color w:val="auto"/>
                <w:szCs w:val="21"/>
                <w:highlight w:val="none"/>
              </w:rPr>
              <w:t xml:space="preserve">运行，在规定时间内人员、</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安排等</w:t>
            </w:r>
            <w:r>
              <w:rPr>
                <w:rFonts w:hint="eastAsia" w:ascii="宋体" w:hAnsi="宋体" w:cs="宋体"/>
                <w:color w:val="auto"/>
                <w:szCs w:val="21"/>
                <w:highlight w:val="none"/>
                <w:lang w:val="en-US" w:eastAsia="zh-CN"/>
              </w:rPr>
              <w:t xml:space="preserve">进场</w:t>
            </w:r>
            <w:r>
              <w:rPr>
                <w:rFonts w:hint="eastAsia" w:ascii="宋体" w:hAnsi="宋体" w:cs="宋体"/>
                <w:color w:val="auto"/>
                <w:szCs w:val="21"/>
                <w:highlight w:val="none"/>
              </w:rPr>
              <w:t xml:space="preserve">措施</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left w:val="single" w:color="000000" w:sz="8" w:space="0"/>
              <w:bottom w:val="single" w:color="auto" w:sz="4" w:space="0"/>
              <w:right w:val="single" w:color="000000" w:sz="8" w:space="0"/>
            </w:tcBorders>
            <w:tcMar>
              <w:left w:w="108" w:type="dxa"/>
              <w:top w:w="0" w:type="dxa"/>
              <w:right w:w="108" w:type="dxa"/>
              <w:bottom w:w="0" w:type="dxa"/>
            </w:tcMar>
            <w:tcW w:w="771"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left w:val="none" w:color="000000" w:sz="4" w:space="0"/>
              <w:bottom w:val="single" w:color="auto" w:sz="4" w:space="0"/>
              <w:right w:val="single" w:color="000000" w:sz="8" w:space="0"/>
            </w:tcBorders>
            <w:tcMar>
              <w:left w:w="108" w:type="dxa"/>
              <w:top w:w="0" w:type="dxa"/>
              <w:right w:w="108" w:type="dxa"/>
              <w:bottom w:w="0" w:type="dxa"/>
            </w:tcMar>
            <w:tcW w:w="1173"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提供退场方案进行评审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详细</w:t>
            </w:r>
            <w:r>
              <w:rPr>
                <w:rFonts w:hint="eastAsia" w:ascii="宋体" w:hAnsi="宋体" w:cs="宋体"/>
                <w:color w:val="auto"/>
                <w:szCs w:val="21"/>
                <w:highlight w:val="none"/>
              </w:rPr>
              <w:t xml:space="preserve">完整</w:t>
            </w:r>
            <w:r>
              <w:rPr>
                <w:rFonts w:hint="eastAsia" w:ascii="宋体" w:hAnsi="宋体" w:cs="宋体"/>
                <w:color w:val="auto"/>
                <w:szCs w:val="21"/>
                <w:highlight w:val="none"/>
                <w:lang w:val="en-US" w:eastAsia="zh-CN"/>
              </w:rPr>
              <w:t xml:space="preserve">的退场方案且</w:t>
            </w:r>
            <w:r>
              <w:rPr>
                <w:rFonts w:hint="eastAsia" w:ascii="宋体" w:hAnsi="宋体" w:cs="宋体"/>
                <w:color w:val="auto"/>
                <w:szCs w:val="21"/>
                <w:highlight w:val="none"/>
              </w:rPr>
              <w:t xml:space="preserve">符合医院管理实际</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、不</w:t>
            </w:r>
            <w:r>
              <w:rPr>
                <w:rFonts w:hint="eastAsia" w:ascii="宋体" w:hAnsi="宋体" w:cs="宋体"/>
                <w:color w:val="auto"/>
                <w:szCs w:val="21"/>
                <w:highlight w:val="none"/>
                <w:lang w:val="en-US" w:eastAsia="zh-CN"/>
              </w:rPr>
              <w:t xml:space="preserve">可</w:t>
            </w:r>
            <w:r>
              <w:rPr>
                <w:rFonts w:hint="eastAsia" w:ascii="宋体" w:hAnsi="宋体" w:cs="宋体"/>
                <w:color w:val="auto"/>
                <w:szCs w:val="21"/>
                <w:highlight w:val="none"/>
              </w:rPr>
              <w:t xml:space="preserve">影响医院</w:t>
            </w:r>
            <w:r>
              <w:rPr>
                <w:rFonts w:hint="eastAsia" w:ascii="宋体" w:hAnsi="宋体" w:cs="宋体"/>
                <w:color w:val="auto"/>
                <w:szCs w:val="21"/>
                <w:highlight w:val="none"/>
                <w:lang w:val="en-US" w:eastAsia="zh-CN"/>
              </w:rPr>
              <w:t xml:space="preserve">正常</w:t>
            </w:r>
            <w:r>
              <w:rPr>
                <w:rFonts w:hint="eastAsia" w:ascii="宋体" w:hAnsi="宋体" w:cs="宋体"/>
                <w:color w:val="auto"/>
                <w:szCs w:val="21"/>
                <w:highlight w:val="none"/>
              </w:rPr>
              <w:t xml:space="preserve">运行，在规定时间内（7</w:t>
            </w:r>
            <w:r>
              <w:rPr>
                <w:rFonts w:hint="eastAsia" w:ascii="宋体" w:hAnsi="宋体" w:cs="宋体"/>
                <w:color w:val="auto"/>
                <w:szCs w:val="21"/>
                <w:highlight w:val="none"/>
                <w:lang w:val="en-US" w:eastAsia="zh-CN"/>
              </w:rPr>
              <w:t xml:space="preserve">个日历天</w:t>
            </w:r>
            <w:r>
              <w:rPr>
                <w:rFonts w:hint="eastAsia" w:ascii="宋体" w:hAnsi="宋体" w:cs="宋体"/>
                <w:color w:val="auto"/>
                <w:szCs w:val="21"/>
                <w:highlight w:val="none"/>
              </w:rPr>
              <w:t xml:space="preserve">内）进行资料移交、人员安排等退场措施</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培训管理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w:t>
            </w:r>
            <w:r>
              <w:rPr>
                <w:rFonts w:hint="eastAsia" w:ascii="宋体" w:hAnsi="宋体" w:cs="宋体"/>
                <w:color w:val="auto"/>
                <w:szCs w:val="21"/>
                <w:highlight w:val="none"/>
                <w:lang w:val="en-US" w:eastAsia="zh-CN"/>
              </w:rPr>
              <w:t xml:space="preserve">提供</w:t>
            </w:r>
            <w:r>
              <w:rPr>
                <w:rFonts w:hint="eastAsia" w:ascii="宋体" w:hAnsi="宋体" w:cs="宋体"/>
                <w:color w:val="auto"/>
                <w:szCs w:val="21"/>
                <w:highlight w:val="none"/>
              </w:rPr>
              <w:t xml:space="preserve">培训管理</w:t>
            </w:r>
            <w:r>
              <w:rPr>
                <w:rFonts w:hint="eastAsia" w:ascii="宋体" w:hAnsi="宋体" w:cs="宋体"/>
                <w:color w:val="auto"/>
                <w:szCs w:val="21"/>
                <w:highlight w:val="none"/>
                <w:lang w:val="en-US" w:eastAsia="zh-CN"/>
              </w:rPr>
              <w:t xml:space="preserve">方案进行评审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内容包括但不限于培训计划、培训内容、培训考核等方案</w:t>
            </w:r>
            <w:r>
              <w:rPr>
                <w:rFonts w:hint="eastAsia" w:ascii="宋体" w:hAnsi="宋体" w:cs="宋体"/>
                <w:color w:val="auto"/>
                <w:szCs w:val="21"/>
                <w:highlight w:val="none"/>
                <w:lang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448"/>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2.4</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应急处置</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针对本项目可能发生的突发事件应急预案进行评审</w:t>
            </w:r>
            <w:r>
              <w:rPr>
                <w:rFonts w:hint="eastAsia" w:ascii="宋体" w:hAnsi="宋体" w:cs="宋体"/>
                <w:color w:val="auto"/>
                <w:szCs w:val="21"/>
                <w:highlight w:val="none"/>
                <w:lang w:val="en-US" w:eastAsia="zh-CN"/>
              </w:rPr>
              <w:t xml:space="preserve">：</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方案内容科学合理，结构清晰完整，逻辑严谨的得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方案内容较科学合理，结构较清晰，无明显问题的得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方案内容一般，结构基本完整，具有少量细节不完善的得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分；内容不符合要求，或未提供方案的不得分。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5分</w:t>
            </w:r>
            <w:r/>
          </w:p>
        </w:tc>
      </w:tr>
      <w:tr>
        <w:trPr>
          <w:trHeight w:val="889"/>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2.5</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增值服务</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投标人根据本次采购服务需求，</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对医院有价值的</w:t>
            </w:r>
            <w:r>
              <w:rPr>
                <w:rFonts w:hint="eastAsia" w:ascii="宋体" w:hAnsi="宋体" w:cs="宋体"/>
                <w:color w:val="auto"/>
                <w:szCs w:val="21"/>
                <w:highlight w:val="none"/>
              </w:rPr>
              <w:t xml:space="preserve">增值服务</w:t>
            </w:r>
            <w:r>
              <w:rPr>
                <w:rFonts w:hint="eastAsia" w:ascii="宋体" w:hAnsi="宋体" w:cs="宋体"/>
                <w:color w:val="auto"/>
                <w:szCs w:val="21"/>
                <w:highlight w:val="none"/>
                <w:lang w:val="en-US" w:eastAsia="zh-CN"/>
              </w:rPr>
              <w:t xml:space="preserve">，每提供一项服务得2.5分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本项满分5分。</w:t>
            </w:r>
            <w:r>
              <w:rPr>
                <w:rFonts w:hint="eastAsia" w:ascii="宋体" w:hAnsi="宋体" w:cs="宋体"/>
                <w:b/>
                <w:bCs/>
                <w:color w:val="auto"/>
                <w:szCs w:val="21"/>
                <w:highlight w:val="none"/>
              </w:rPr>
              <w:t xml:space="preserve">（提供承诺书加盖</w:t>
            </w:r>
            <w:r>
              <w:rPr>
                <w:rFonts w:hint="eastAsia" w:ascii="宋体" w:hAnsi="宋体" w:cs="宋体"/>
                <w:b/>
                <w:bCs/>
                <w:color w:val="auto"/>
                <w:szCs w:val="21"/>
                <w:highlight w:val="none"/>
                <w:lang w:val="en-US" w:eastAsia="zh-CN"/>
              </w:rPr>
              <w:t xml:space="preserve">投标人</w:t>
            </w:r>
            <w:r>
              <w:rPr>
                <w:rFonts w:hint="eastAsia" w:ascii="宋体" w:hAnsi="宋体" w:cs="宋体"/>
                <w:b/>
                <w:bCs/>
                <w:color w:val="auto"/>
                <w:szCs w:val="21"/>
                <w:highlight w:val="none"/>
              </w:rPr>
              <w:t xml:space="preserve">公章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trHeight w:val="57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三、商务部分</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rPr>
              <w:t xml:space="preserve">分）</w:t>
            </w:r>
            <w:r/>
          </w:p>
        </w:tc>
      </w:tr>
      <w:tr>
        <w:trPr>
          <w:trHeight w:val="602"/>
        </w:trPr>
        <w:tc>
          <w:tcPr>
            <w:tcBorders>
              <w:top w:val="none" w:color="000000" w:sz="4" w:space="0"/>
              <w:left w:val="single" w:color="000000" w:sz="8" w:space="0"/>
              <w:right w:val="single" w:color="000000" w:sz="8" w:space="0"/>
            </w:tcBorders>
            <w:tcMar>
              <w:left w:w="108" w:type="dxa"/>
              <w:top w:w="0" w:type="dxa"/>
              <w:right w:w="108" w:type="dxa"/>
              <w:bottom w:w="0" w:type="dxa"/>
            </w:tcMar>
            <w:tcW w:w="771" w:type="dxa"/>
            <w:vAlign w:val="center"/>
            <w:vMerge w:val="restart"/>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tcBorders>
              <w:top w:val="none" w:color="000000" w:sz="4" w:space="0"/>
              <w:left w:val="none" w:color="000000" w:sz="4" w:space="0"/>
              <w:right w:val="single" w:color="000000" w:sz="8" w:space="0"/>
            </w:tcBorders>
            <w:tcMar>
              <w:left w:w="108" w:type="dxa"/>
              <w:top w:w="0" w:type="dxa"/>
              <w:right w:w="108" w:type="dxa"/>
              <w:bottom w:w="0" w:type="dxa"/>
            </w:tcMar>
            <w:tcW w:w="1173" w:type="dxa"/>
            <w:vAlign w:val="center"/>
            <w:vMerge w:val="restart"/>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投标人具有</w:t>
            </w:r>
            <w:r>
              <w:rPr>
                <w:rFonts w:hint="eastAsia" w:ascii="宋体" w:hAnsi="宋体" w:cs="宋体"/>
                <w:color w:val="auto"/>
                <w:szCs w:val="21"/>
                <w:highlight w:val="none"/>
                <w:lang w:val="en-US" w:eastAsia="zh-CN"/>
              </w:rPr>
              <w:t xml:space="preserve">有效的</w:t>
            </w:r>
            <w:r>
              <w:rPr>
                <w:rFonts w:hint="eastAsia" w:ascii="宋体" w:hAnsi="宋体" w:cs="宋体"/>
                <w:color w:val="auto"/>
                <w:szCs w:val="21"/>
                <w:highlight w:val="none"/>
              </w:rPr>
              <w:t xml:space="preserve">质量管理体系认证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、环境管理体系认证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、职业健康安全管理体系认证</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每提供一项</w:t>
            </w:r>
            <w:r>
              <w:rPr>
                <w:rFonts w:hint="eastAsia" w:ascii="宋体" w:hAnsi="宋体" w:cs="宋体"/>
                <w:color w:val="auto"/>
                <w:szCs w:val="21"/>
                <w:highlight w:val="none"/>
                <w:lang w:val="en-US" w:eastAsia="zh-CN"/>
              </w:rPr>
              <w:t xml:space="preserve">证书</w:t>
            </w:r>
            <w:r>
              <w:rPr>
                <w:rFonts w:hint="eastAsia" w:ascii="宋体" w:hAnsi="宋体" w:cs="宋体"/>
                <w:color w:val="auto"/>
                <w:szCs w:val="21"/>
                <w:highlight w:val="none"/>
              </w:rPr>
              <w:t xml:space="preserve">得1分，</w:t>
            </w:r>
            <w:r>
              <w:rPr>
                <w:rFonts w:hint="eastAsia" w:ascii="宋体" w:hAnsi="宋体" w:cs="宋体"/>
                <w:color w:val="auto"/>
                <w:szCs w:val="21"/>
                <w:highlight w:val="none"/>
                <w:lang w:val="en-US" w:eastAsia="zh-CN"/>
              </w:rPr>
              <w:t xml:space="preserve">本项满分3</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（提供证书以及国家认证认可监督管理委员会网站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https://www.cnca.gov.cn/</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查询</w:t>
            </w:r>
            <w:r>
              <w:rPr>
                <w:rFonts w:hint="eastAsia" w:ascii="宋体" w:hAnsi="宋体" w:cs="宋体"/>
                <w:b/>
                <w:bCs/>
                <w:color w:val="auto"/>
                <w:szCs w:val="21"/>
                <w:highlight w:val="none"/>
                <w:lang w:val="en-US" w:eastAsia="zh-CN"/>
              </w:rPr>
              <w:t xml:space="preserve">有效</w:t>
            </w:r>
            <w:r>
              <w:rPr>
                <w:rFonts w:hint="eastAsia" w:ascii="宋体" w:hAnsi="宋体" w:cs="宋体"/>
                <w:b/>
                <w:bCs/>
                <w:color w:val="auto"/>
                <w:szCs w:val="21"/>
                <w:highlight w:val="none"/>
              </w:rPr>
              <w:t xml:space="preserve">截图</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未按要求提供不得分</w:t>
            </w:r>
            <w:r>
              <w:rPr>
                <w:rFonts w:hint="eastAsia" w:ascii="宋体" w:hAnsi="宋体" w:cs="宋体"/>
                <w:b/>
                <w:bCs/>
                <w:color w:val="auto"/>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trHeight w:val="343"/>
        </w:trPr>
        <w:tc>
          <w:tcPr>
            <w:tcBorders>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173" w:type="dxa"/>
            <w:vAlign w:val="center"/>
            <w:vMerge w:val="continue"/>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b w:val="0"/>
                <w:bCs w:val="0"/>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Cs w:val="21"/>
                <w:highlight w:val="none"/>
                <w:lang w:val="en-US" w:eastAsia="zh-CN"/>
              </w:rPr>
              <w:t xml:space="preserve">投标人自有</w:t>
            </w:r>
            <w:r>
              <w:rPr>
                <w:rFonts w:ascii="宋体" w:hAnsi="宋体" w:cs="宋体"/>
                <w:b w:val="0"/>
                <w:bCs w:val="0"/>
                <w:color w:val="auto"/>
                <w:szCs w:val="21"/>
                <w:highlight w:val="none"/>
              </w:rPr>
              <w:t xml:space="preserve">培训学校的得</w:t>
            </w:r>
            <w:r>
              <w:rPr>
                <w:rFonts w:hint="eastAsia" w:ascii="宋体" w:hAnsi="宋体" w:cs="宋体"/>
                <w:b w:val="0"/>
                <w:bCs w:val="0"/>
                <w:color w:val="auto"/>
                <w:szCs w:val="21"/>
                <w:highlight w:val="none"/>
              </w:rPr>
              <w:t xml:space="preserve">4</w:t>
            </w:r>
            <w:r>
              <w:rPr>
                <w:rFonts w:ascii="宋体" w:hAnsi="宋体" w:cs="宋体"/>
                <w:b w:val="0"/>
                <w:bCs w:val="0"/>
                <w:color w:val="auto"/>
                <w:szCs w:val="21"/>
                <w:highlight w:val="none"/>
              </w:rPr>
              <w:t xml:space="preserve">分，</w:t>
            </w:r>
            <w:r>
              <w:rPr>
                <w:rFonts w:hint="eastAsia" w:ascii="宋体" w:hAnsi="宋体" w:cs="宋体"/>
                <w:b w:val="0"/>
                <w:bCs w:val="0"/>
                <w:color w:val="auto"/>
                <w:szCs w:val="21"/>
                <w:highlight w:val="none"/>
                <w:lang w:val="en-US" w:eastAsia="zh-CN"/>
              </w:rPr>
              <w:t xml:space="preserve">投标人</w:t>
            </w:r>
            <w:r>
              <w:rPr>
                <w:rFonts w:ascii="宋体" w:hAnsi="宋体" w:cs="宋体"/>
                <w:b w:val="0"/>
                <w:bCs w:val="0"/>
                <w:color w:val="auto"/>
                <w:szCs w:val="21"/>
                <w:highlight w:val="none"/>
              </w:rPr>
              <w:t xml:space="preserve">与培训学校校企合作的</w:t>
            </w:r>
            <w:r>
              <w:rPr>
                <w:rFonts w:hint="eastAsia" w:ascii="宋体" w:hAnsi="宋体" w:cs="宋体"/>
                <w:b w:val="0"/>
                <w:bCs w:val="0"/>
                <w:color w:val="auto"/>
                <w:szCs w:val="21"/>
                <w:highlight w:val="none"/>
                <w:lang w:val="en-US" w:eastAsia="zh-CN"/>
              </w:rPr>
              <w:t xml:space="preserve">得3分，本项满分4分。</w:t>
            </w:r>
            <w:r>
              <w:rPr>
                <w:rFonts w:hint="eastAsia" w:ascii="宋体" w:hAnsi="宋体" w:cs="宋体"/>
                <w:b/>
                <w:bCs/>
                <w:color w:val="auto"/>
                <w:szCs w:val="21"/>
                <w:highlight w:val="none"/>
                <w:lang w:val="en-US" w:eastAsia="zh-CN"/>
              </w:rPr>
              <w:t xml:space="preserve">（若自有培训学校提供投标人自有证明材料，如学校办学许可证、法人登记证书；若与培训学校合作提供与培训学校合作证明材料，如学校办学许可证、法人登记书及近一年内任意一个月的结算发票，未按上述要求提供证明材料或提供的证明材料不清晰、无法确认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4分</w:t>
            </w:r>
            <w:r/>
          </w:p>
        </w:tc>
      </w:tr>
      <w:tr>
        <w:trPr>
          <w:trHeight w:val="602"/>
        </w:trPr>
        <w:tc>
          <w:tcPr>
            <w:tcBorders>
              <w:left w:val="single" w:color="000000" w:sz="8" w:space="0"/>
              <w:bottom w:val="single" w:color="auto" w:sz="4"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2</w:t>
            </w:r>
            <w:r/>
          </w:p>
        </w:tc>
        <w:tc>
          <w:tcPr>
            <w:tcBorders>
              <w:left w:val="none" w:color="000000" w:sz="4" w:space="0"/>
              <w:bottom w:val="single" w:color="auto" w:sz="4"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资质荣誉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投标人自2023年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w:t>
            </w:r>
            <w:r>
              <w:rPr>
                <w:rFonts w:hint="eastAsia" w:ascii="宋体" w:hAnsi="宋体" w:cs="宋体"/>
                <w:color w:val="auto"/>
                <w:szCs w:val="21"/>
                <w:highlight w:val="none"/>
                <w:lang w:eastAsia="zh-CN"/>
              </w:rPr>
              <w:t xml:space="preserve">（以获奖证书上的颁发时间为准）</w:t>
            </w:r>
            <w:r>
              <w:rPr>
                <w:rFonts w:hint="eastAsia" w:ascii="宋体" w:hAnsi="宋体" w:cs="宋体"/>
                <w:color w:val="auto"/>
                <w:szCs w:val="21"/>
                <w:highlight w:val="none"/>
              </w:rPr>
              <w:t xml:space="preserve">获得与本项目需求类似</w:t>
            </w:r>
            <w:r>
              <w:rPr>
                <w:rFonts w:hint="eastAsia" w:ascii="宋体" w:hAnsi="宋体" w:cs="宋体"/>
                <w:b w:val="0"/>
                <w:bCs w:val="0"/>
                <w:color w:val="auto"/>
                <w:szCs w:val="21"/>
                <w:highlight w:val="none"/>
              </w:rPr>
              <w:t xml:space="preserve">的荣誉或表彰</w:t>
            </w:r>
            <w:r>
              <w:rPr>
                <w:rFonts w:hint="eastAsia" w:ascii="宋体" w:hAnsi="宋体" w:cs="宋体"/>
                <w:b w:val="0"/>
                <w:bCs w:val="0"/>
                <w:color w:val="auto"/>
                <w:szCs w:val="21"/>
                <w:highlight w:val="none"/>
                <w:lang w:val="en-US" w:eastAsia="zh-CN"/>
              </w:rPr>
              <w:t xml:space="preserve">的</w:t>
            </w:r>
            <w:r>
              <w:rPr>
                <w:rFonts w:hint="eastAsia" w:ascii="宋体" w:hAnsi="宋体" w:cs="宋体"/>
                <w:b w:val="0"/>
                <w:bCs w:val="0"/>
                <w:color w:val="auto"/>
                <w:szCs w:val="21"/>
                <w:highlight w:val="none"/>
              </w:rPr>
              <w:t xml:space="preserve">得</w:t>
            </w: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分</w:t>
            </w:r>
            <w:r>
              <w:rPr>
                <w:rFonts w:hint="eastAsia" w:ascii="宋体" w:hAnsi="宋体" w:cs="宋体"/>
                <w:b w:val="0"/>
                <w:bCs w:val="0"/>
                <w:color w:val="auto"/>
                <w:szCs w:val="21"/>
                <w:highlight w:val="none"/>
                <w:lang w:eastAsia="zh-CN"/>
              </w:rPr>
              <w:t xml:space="preserve">。</w:t>
            </w:r>
            <w:r>
              <w:rPr>
                <w:rFonts w:hint="eastAsia" w:ascii="宋体" w:hAnsi="宋体" w:cs="宋体"/>
                <w:b/>
                <w:bCs/>
                <w:color w:val="auto"/>
                <w:szCs w:val="21"/>
                <w:highlight w:val="none"/>
              </w:rPr>
              <w:t xml:space="preserve">（提供</w:t>
            </w:r>
            <w:r>
              <w:rPr>
                <w:rFonts w:hint="eastAsia" w:ascii="宋体" w:hAnsi="宋体" w:cs="宋体"/>
                <w:b/>
                <w:bCs/>
                <w:color w:val="auto"/>
                <w:szCs w:val="21"/>
                <w:highlight w:val="none"/>
                <w:lang w:val="en-US" w:eastAsia="zh-CN"/>
              </w:rPr>
              <w:t xml:space="preserve">有效证明材料</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未按要求提供不得分。</w:t>
            </w:r>
            <w:r>
              <w:rPr>
                <w:rFonts w:hint="eastAsia" w:ascii="宋体" w:hAnsi="宋体" w:cs="宋体"/>
                <w:b/>
                <w:bCs/>
                <w:color w:val="auto"/>
                <w:szCs w:val="21"/>
                <w:highlight w:val="none"/>
              </w:rPr>
              <w:t xml:space="preserve">同一</w:t>
            </w:r>
            <w:r>
              <w:rPr>
                <w:rFonts w:hint="eastAsia" w:ascii="宋体" w:hAnsi="宋体" w:cs="宋体"/>
                <w:b/>
                <w:bCs/>
                <w:color w:val="auto"/>
                <w:szCs w:val="21"/>
                <w:highlight w:val="none"/>
                <w:lang w:val="en-US" w:eastAsia="zh-CN"/>
              </w:rPr>
              <w:t xml:space="preserve">奖项</w:t>
            </w:r>
            <w:r>
              <w:rPr>
                <w:rFonts w:hint="eastAsia" w:ascii="宋体" w:hAnsi="宋体" w:cs="宋体"/>
                <w:b/>
                <w:bCs/>
                <w:color w:val="auto"/>
                <w:szCs w:val="21"/>
                <w:highlight w:val="none"/>
              </w:rPr>
              <w:t xml:space="preserve">不同年份的只计取1次，不重复计分。）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2分</w:t>
            </w:r>
            <w:r/>
          </w:p>
        </w:tc>
      </w:tr>
      <w:tr>
        <w:trPr>
          <w:trHeight w:val="141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3</w:t>
            </w:r>
            <w:r/>
          </w:p>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信息化管理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投标人提供</w:t>
            </w:r>
            <w:r>
              <w:rPr>
                <w:rFonts w:hint="eastAsia" w:ascii="宋体" w:hAnsi="宋体" w:cs="宋体"/>
                <w:color w:val="auto"/>
                <w:szCs w:val="21"/>
                <w:highlight w:val="none"/>
              </w:rPr>
              <w:t xml:space="preserve">智能化陪护业务信息</w:t>
            </w:r>
            <w:r>
              <w:rPr>
                <w:rFonts w:hint="eastAsia" w:ascii="宋体" w:hAnsi="宋体" w:cs="宋体"/>
                <w:color w:val="auto"/>
                <w:szCs w:val="21"/>
                <w:highlight w:val="none"/>
                <w:lang w:val="en-US" w:eastAsia="zh-CN"/>
              </w:rPr>
              <w:t xml:space="preserve">系统，投标人</w:t>
            </w:r>
            <w:r>
              <w:rPr>
                <w:rFonts w:hint="eastAsia" w:ascii="宋体" w:hAnsi="宋体" w:cs="宋体"/>
                <w:color w:val="auto"/>
                <w:szCs w:val="21"/>
                <w:highlight w:val="none"/>
              </w:rPr>
              <w:t xml:space="preserve">自主研发</w:t>
            </w:r>
            <w:r>
              <w:rPr>
                <w:rFonts w:hint="eastAsia" w:ascii="宋体" w:hAnsi="宋体" w:cs="宋体"/>
                <w:color w:val="auto"/>
                <w:szCs w:val="21"/>
                <w:highlight w:val="none"/>
                <w:lang w:val="en-US" w:eastAsia="zh-CN"/>
              </w:rPr>
              <w:t xml:space="preserve">的得3分；投标人购买第三方实施的得2分；本项满分3分。</w:t>
            </w:r>
            <w:r>
              <w:rPr>
                <w:rFonts w:hint="eastAsia" w:ascii="宋体" w:hAnsi="宋体" w:cs="宋体"/>
                <w:b/>
                <w:bCs/>
                <w:color w:val="auto"/>
                <w:szCs w:val="21"/>
                <w:highlight w:val="none"/>
                <w:lang w:val="en-US" w:eastAsia="zh-CN"/>
              </w:rPr>
              <w:t xml:space="preserve">（若自主研发的提供有效的软件著作权证书；若购买第三方实施的提供购买合同和第三方有效的软件著作权证书，未按上述要求提供证明材料或提供的证明材料不清晰、无法确认的均不得分）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3分</w:t>
            </w:r>
            <w:r/>
          </w:p>
        </w:tc>
      </w:tr>
      <w:tr>
        <w:trPr>
          <w:trHeight w:val="60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人员</w:t>
            </w:r>
            <w:r>
              <w:rPr>
                <w:rFonts w:hint="eastAsia" w:ascii="宋体" w:hAnsi="宋体" w:cs="宋体"/>
                <w:color w:val="auto"/>
                <w:szCs w:val="21"/>
                <w:highlight w:val="none"/>
                <w:lang w:val="en-US" w:eastAsia="zh-CN"/>
              </w:rPr>
              <w:t xml:space="preserve">资质</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500" w:type="dxa"/>
            <w:vAlign w:val="center"/>
            <w:textDirection w:val="lrTb"/>
            <w:noWrap/>
          </w:tcPr>
          <w:p>
            <w:pPr>
              <w:jc w:val="lef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投标人需配备1名项目经理，</w:t>
            </w:r>
            <w:r>
              <w:rPr>
                <w:rFonts w:hint="eastAsia" w:ascii="宋体" w:hAnsi="宋体" w:cs="宋体"/>
                <w:color w:val="auto"/>
                <w:szCs w:val="21"/>
                <w:highlight w:val="none"/>
              </w:rPr>
              <w:t xml:space="preserve">具有大专</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以上学历且年龄在50周岁以下得2分；具有国家人社部门颁发的中级及以上护理员职业技能等级证书得2分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本项满分4分</w:t>
            </w:r>
            <w:r>
              <w:rPr>
                <w:rFonts w:hint="eastAsia" w:ascii="宋体" w:hAnsi="宋体" w:cs="宋体"/>
                <w:color w:val="auto"/>
                <w:szCs w:val="21"/>
                <w:highlight w:val="none"/>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提供人员学历证书、有效身份证、相关技能证书及近一年内任意一个月的社保证明，未按上述要求提供证明材料或提供的证明材料不清晰、无法确认的均不得分。</w:t>
            </w:r>
            <w:r>
              <w:rPr>
                <w:rFonts w:hint="eastAsia" w:ascii="宋体" w:hAnsi="宋体" w:eastAsia="宋体" w:cs="宋体"/>
                <w:b/>
                <w:bCs/>
                <w:color w:val="auto"/>
                <w:szCs w:val="21"/>
                <w:highlight w:val="none"/>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4分</w:t>
            </w:r>
            <w:r/>
          </w:p>
        </w:tc>
      </w:tr>
      <w:tr>
        <w:trPr>
          <w:trHeight w:val="602"/>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jc w:val="center"/>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5</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0" w:type="dxa"/>
            <w:textDirection w:val="lrTb"/>
            <w:noWrap/>
          </w:tcPr>
          <w:p>
            <w:pP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投标人自2023年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日以来（以合同签订时间为准）</w:t>
            </w:r>
            <w:r>
              <w:rPr>
                <w:rFonts w:hint="eastAsia" w:ascii="宋体" w:hAnsi="宋体" w:cs="宋体"/>
                <w:color w:val="auto"/>
                <w:szCs w:val="21"/>
                <w:highlight w:val="none"/>
                <w:lang w:val="en-US" w:eastAsia="zh-CN"/>
              </w:rPr>
              <w:t xml:space="preserve">与本项目需求</w:t>
            </w:r>
            <w:r>
              <w:rPr>
                <w:rFonts w:hint="eastAsia" w:ascii="宋体" w:hAnsi="宋体" w:cs="宋体"/>
                <w:color w:val="auto"/>
                <w:szCs w:val="21"/>
                <w:highlight w:val="none"/>
              </w:rPr>
              <w:t xml:space="preserve">类似的业绩，每提供一</w:t>
            </w:r>
            <w:r>
              <w:rPr>
                <w:rFonts w:hint="eastAsia" w:ascii="宋体" w:hAnsi="宋体" w:cs="宋体"/>
                <w:color w:val="auto"/>
                <w:szCs w:val="21"/>
                <w:highlight w:val="none"/>
                <w:lang w:val="en-US" w:eastAsia="zh-CN"/>
              </w:rPr>
              <w:t xml:space="preserve">份业绩</w:t>
            </w:r>
            <w:r>
              <w:rPr>
                <w:rFonts w:hint="eastAsia" w:ascii="宋体" w:hAnsi="宋体" w:cs="宋体"/>
                <w:color w:val="auto"/>
                <w:szCs w:val="21"/>
                <w:highlight w:val="none"/>
              </w:rPr>
              <w:t xml:space="preserve">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本项满分9</w:t>
            </w:r>
            <w:r>
              <w:rPr>
                <w:rFonts w:hint="eastAsia" w:ascii="宋体" w:hAnsi="宋体" w:cs="宋体"/>
                <w:color w:val="auto"/>
                <w:szCs w:val="21"/>
                <w:highlight w:val="none"/>
              </w:rPr>
              <w:t xml:space="preserve">分。</w:t>
            </w:r>
            <w:r>
              <w:rPr>
                <w:rFonts w:hint="eastAsia" w:ascii="宋体" w:hAnsi="宋体" w:cs="宋体"/>
                <w:b/>
                <w:color w:val="auto"/>
                <w:szCs w:val="21"/>
                <w:highlight w:val="none"/>
              </w:rPr>
              <w:t xml:space="preserve">（提供有效合同</w:t>
            </w:r>
            <w:r>
              <w:rPr>
                <w:rFonts w:hint="eastAsia" w:ascii="宋体" w:hAnsi="宋体" w:cs="宋体"/>
                <w:b/>
                <w:color w:val="auto"/>
                <w:szCs w:val="21"/>
                <w:highlight w:val="none"/>
                <w:lang w:val="en-US" w:eastAsia="zh-CN"/>
              </w:rPr>
              <w:t xml:space="preserve">且合同</w:t>
            </w:r>
            <w:r>
              <w:rPr>
                <w:rFonts w:hint="eastAsia" w:ascii="宋体" w:hAnsi="宋体" w:cs="宋体"/>
                <w:b/>
                <w:color w:val="auto"/>
                <w:szCs w:val="21"/>
                <w:highlight w:val="none"/>
              </w:rPr>
              <w:t xml:space="preserve">须能</w:t>
            </w:r>
            <w:r>
              <w:rPr>
                <w:rFonts w:hint="eastAsia" w:ascii="宋体" w:hAnsi="宋体" w:cs="宋体"/>
                <w:b/>
                <w:color w:val="auto"/>
                <w:szCs w:val="21"/>
                <w:highlight w:val="none"/>
                <w:lang w:val="en-US" w:eastAsia="zh-CN"/>
              </w:rPr>
              <w:t xml:space="preserve">清晰</w:t>
            </w:r>
            <w:r>
              <w:rPr>
                <w:rFonts w:hint="eastAsia" w:ascii="宋体" w:hAnsi="宋体" w:cs="宋体"/>
                <w:b/>
                <w:color w:val="auto"/>
                <w:szCs w:val="21"/>
                <w:highlight w:val="none"/>
              </w:rPr>
              <w:t xml:space="preserve">反映</w:t>
            </w:r>
            <w:r>
              <w:rPr>
                <w:rFonts w:hint="eastAsia" w:ascii="宋体" w:hAnsi="宋体" w:cs="宋体"/>
                <w:b/>
                <w:bCs/>
                <w:color w:val="auto"/>
                <w:szCs w:val="21"/>
                <w:highlight w:val="none"/>
              </w:rPr>
              <w:t xml:space="preserve">双方名称、合同内容、合同总价</w:t>
            </w:r>
            <w:r>
              <w:rPr>
                <w:rFonts w:hint="eastAsia" w:ascii="宋体" w:hAnsi="宋体" w:cs="宋体"/>
                <w:b/>
                <w:color w:val="auto"/>
                <w:szCs w:val="21"/>
                <w:highlight w:val="none"/>
              </w:rPr>
              <w:t xml:space="preserve">，签订时间</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签章，</w:t>
            </w:r>
            <w:r>
              <w:rPr>
                <w:rFonts w:hint="eastAsia" w:ascii="宋体" w:hAnsi="宋体" w:cs="宋体"/>
                <w:b/>
                <w:color w:val="auto"/>
                <w:szCs w:val="21"/>
                <w:highlight w:val="none"/>
                <w:lang w:val="en-US" w:eastAsia="zh-CN"/>
              </w:rPr>
              <w:t xml:space="preserve">未按要求提供不得分；</w:t>
            </w:r>
            <w:r>
              <w:rPr>
                <w:rFonts w:hint="eastAsia" w:ascii="宋体" w:hAnsi="宋体" w:cs="宋体"/>
                <w:b/>
                <w:color w:val="auto"/>
                <w:szCs w:val="21"/>
                <w:highlight w:val="none"/>
              </w:rPr>
              <w:t xml:space="preserve">同一业主单位不同年份的项目业绩只计取1次，不重复计分。）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jc w:val="center"/>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9分</w:t>
            </w:r>
            <w:r/>
          </w:p>
        </w:tc>
      </w:tr>
    </w:tbl>
    <w:p>
      <w:pPr>
        <w:pStyle w:val="789"/>
        <w:jc w:val="left"/>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789"/>
        <w:rPr>
          <w:color w:val="auto"/>
          <w:highlight w:val="none"/>
        </w:rPr>
      </w:pPr>
      <w:r>
        <w:rPr>
          <w:color w:val="auto"/>
          <w:highlight w:val="none"/>
        </w:rPr>
      </w:r>
      <w:r/>
    </w:p>
    <w:p>
      <w:pPr>
        <w:pStyle w:val="789"/>
        <w:rPr>
          <w:color w:val="auto"/>
          <w:highlight w:val="none"/>
        </w:rPr>
      </w:pPr>
      <w:r/>
      <w:bookmarkStart w:id="76" w:name="_Toc2219"/>
      <w:r>
        <w:rPr>
          <w:rFonts w:hint="eastAsia"/>
          <w:color w:val="auto"/>
          <w:highlight w:val="none"/>
        </w:rPr>
        <w:t xml:space="preserve">第六章 投标文件格式</w:t>
      </w:r>
      <w:bookmarkEnd w:id="75"/>
      <w:r/>
      <w:bookmarkEnd w:id="76"/>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headerReference w:type="default" r:id="rId10"/>
          <w:footerReference w:type="default" r:id="rId14"/>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投标文件的组成</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一、资格审查响应对照表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二、符合性审查响应对照表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三、非实质性响应对照表</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
          <w:bCs/>
          <w:color w:val="auto"/>
          <w:szCs w:val="21"/>
          <w:highlight w:val="none"/>
        </w:rPr>
        <w:t xml:space="preserve">、</w:t>
      </w:r>
      <w:r>
        <w:rPr>
          <w:rFonts w:hint="eastAsia" w:ascii="宋体" w:hAnsi="宋体" w:cs="宋体"/>
          <w:i/>
          <w:color w:val="auto"/>
          <w:szCs w:val="21"/>
          <w:highlight w:val="none"/>
          <w:u w:val="single"/>
        </w:rPr>
        <w:t xml:space="preserve">开标一览表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五、投标分项报价表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六、技术要求响应及偏离表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七、商务要求响应及偏离表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八、人员一览表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九、其他 （投标所需其他相关内容）</w:t>
      </w:r>
      <w:r/>
    </w:p>
    <w:p>
      <w:pPr>
        <w:contextualSpacing/>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jc w:val="center"/>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jc w:val="center"/>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7" w:name="_Toc7268"/>
      <w:r/>
      <w:bookmarkStart w:id="78" w:name="_Toc2731"/>
      <w:r/>
      <w:bookmarkStart w:id="79" w:name="_Toc3717"/>
      <w:r/>
      <w:bookmarkStart w:id="80" w:name="_Toc5792"/>
      <w:r/>
      <w:bookmarkStart w:id="81" w:name="_Toc20369"/>
      <w:r/>
      <w:bookmarkStart w:id="82" w:name="_Toc21096"/>
      <w:r>
        <w:rPr>
          <w:rFonts w:hint="eastAsia" w:ascii="宋体" w:hAnsi="宋体" w:eastAsia="宋体" w:cs="宋体"/>
          <w:color w:val="auto"/>
          <w:sz w:val="21"/>
          <w:szCs w:val="21"/>
          <w:highlight w:val="none"/>
        </w:rPr>
        <w:t xml:space="preserve">一、</w:t>
      </w:r>
      <w:bookmarkEnd w:id="77"/>
      <w:r/>
      <w:bookmarkEnd w:id="78"/>
      <w:r/>
      <w:bookmarkEnd w:id="79"/>
      <w:r/>
      <w:bookmarkEnd w:id="80"/>
      <w:r/>
      <w:bookmarkEnd w:id="81"/>
      <w:r>
        <w:rPr>
          <w:rFonts w:hint="eastAsia" w:ascii="宋体" w:hAnsi="宋体" w:eastAsia="宋体" w:cs="宋体"/>
          <w:color w:val="auto"/>
          <w:sz w:val="21"/>
          <w:szCs w:val="21"/>
          <w:highlight w:val="none"/>
        </w:rPr>
        <w:t xml:space="preserve">资格审查响应对照表</w:t>
      </w:r>
      <w:bookmarkEnd w:id="82"/>
      <w:r/>
      <w:r/>
    </w:p>
    <w:tbl>
      <w:tblPr>
        <w:tblStyle w:val="799"/>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6872"/>
        <w:gridCol w:w="1919"/>
      </w:tblGrid>
      <w:tr>
        <w:trPr>
          <w:trHeight w:val="647"/>
        </w:trPr>
        <w:tc>
          <w:tcPr>
            <w:tcW w:w="771"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873"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91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9563"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71"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19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873"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8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87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2"/>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本项目的特定资格要求：无</w:t>
            </w:r>
            <w:r/>
          </w:p>
        </w:tc>
      </w:tr>
      <w:tr>
        <w:trPr>
          <w:trHeight w:val="400"/>
        </w:trPr>
        <w:tc>
          <w:tcPr>
            <w:gridSpan w:val="3"/>
            <w:tcW w:w="9563"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（2）除单一来源采购项目外，为采购项目提供整体设计、规范编制或者项目管理、监理、检测等服务的供应商，不得再参加该采购项目的其他采购活动；</w:t>
            </w:r>
            <w:r/>
          </w:p>
          <w:p>
            <w:pPr>
              <w:jc w:val="left"/>
              <w:spacing w:line="440" w:lineRule="exact"/>
              <w:rPr>
                <w:rFonts w:hint="eastAsia" w:ascii="宋体" w:hAnsi="宋体" w:cs="宋体"/>
                <w:iCs/>
                <w:color w:val="auto"/>
                <w:szCs w:val="21"/>
                <w:highlight w:val="none"/>
              </w:rPr>
            </w:pPr>
            <w:r>
              <w:rPr>
                <w:rFonts w:hint="eastAsia" w:ascii="宋体" w:hAnsi="宋体" w:eastAsia="宋体" w:cs="宋体"/>
                <w:b/>
                <w:bCs w:val="0"/>
                <w:i w:val="0"/>
                <w:iCs w:val="0"/>
                <w:color w:val="auto"/>
                <w:sz w:val="21"/>
                <w:szCs w:val="21"/>
                <w:highlight w:val="none"/>
                <w:u w:val="none"/>
                <w:lang w:val="en-US" w:eastAsia="zh-CN"/>
              </w:rPr>
              <w:t xml:space="preserve">提供承诺书加盖供应商公章，上传系统，承诺书内容需包含上述内容</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77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6873"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9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before="156" w:after="156"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具备履行合同所必需的设备和专业技术能力的书面声明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参加本次政府采购活动前 3 年内在经营活动中没有重大违法记录的书面声明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color w:val="auto"/>
          <w:szCs w:val="21"/>
          <w:highlight w:val="none"/>
        </w:rPr>
        <w:t xml:space="preserve">供应商信用承诺书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致：江苏苏维工程管理有限公司</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根据贵方的JSZC-320000-SWGC-G2026-0073号招标文件，正式授权下述签字人_________________（姓名）代表我方______________（投标人的名称），全权处理本次项目投标的有关事宜。</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3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法人授权书</w:t>
      </w:r>
      <w:r/>
    </w:p>
    <w:p>
      <w:pPr>
        <w:pStyle w:val="103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8"/>
        <w:ind w:firstLine="420"/>
        <w:spacing w:line="360" w:lineRule="auto"/>
        <w:rPr>
          <w:rFonts w:hint="eastAsia" w:ascii="宋体" w:hAnsi="宋体" w:cs="宋体"/>
          <w:color w:val="auto"/>
          <w:sz w:val="21"/>
          <w:szCs w:val="21"/>
          <w:highlight w:val="none"/>
        </w:rPr>
      </w:pPr>
      <w:r/>
      <w:bookmarkStart w:id="83" w:name="_Toc9345"/>
      <w:r/>
      <w:bookmarkStart w:id="84" w:name="_Toc16911"/>
      <w:r/>
      <w:bookmarkStart w:id="85" w:name="_Toc17479"/>
      <w:r/>
      <w:bookmarkStart w:id="86" w:name="_Toc20616"/>
      <w:r>
        <w:rPr>
          <w:rFonts w:hint="eastAsia" w:ascii="宋体" w:hAnsi="宋体" w:cs="宋体"/>
          <w:color w:val="auto"/>
          <w:sz w:val="21"/>
          <w:szCs w:val="21"/>
          <w:highlight w:val="none"/>
        </w:rPr>
        <w:t xml:space="preserve">本授权书声明：________________（投标人名称）授权________________（被授权人的姓名）为我方就JSZC-320000-SWGC-G2026-0073号</w:t>
      </w:r>
      <w:r>
        <w:rPr>
          <w:rFonts w:hint="eastAsia" w:ascii="宋体" w:hAnsi="宋体" w:cs="宋体"/>
          <w:color w:val="auto"/>
          <w:sz w:val="21"/>
          <w:szCs w:val="21"/>
          <w:highlight w:val="none"/>
          <w:u w:val="single"/>
        </w:rPr>
        <w:t xml:space="preserve">（项目名称）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3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3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被授权人身份证号码：</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被授权人联系电话：（手机）</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被授权人电子邮箱：</w:t>
      </w:r>
      <w:r>
        <w:rPr>
          <w:rFonts w:hint="eastAsia" w:ascii="宋体" w:hAnsi="宋体" w:cs="宋体"/>
          <w:color w:val="auto"/>
          <w:szCs w:val="21"/>
          <w:highlight w:val="none"/>
          <w:u w:val="single"/>
        </w:rPr>
        <w:t xml:space="preserve">                </w:t>
      </w:r>
      <w:r/>
    </w:p>
    <w:p>
      <w:pPr>
        <w:ind w:firstLine="420"/>
        <w:spacing w:line="360" w:lineRule="auto"/>
        <w:tabs>
          <w:tab w:val="left" w:pos="3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授权单位名称：</w:t>
      </w:r>
      <w:r>
        <w:rPr>
          <w:rFonts w:hint="eastAsia" w:ascii="宋体" w:hAnsi="宋体" w:cs="宋体"/>
          <w:color w:val="auto"/>
          <w:szCs w:val="21"/>
          <w:highlight w:val="none"/>
          <w:u w:val="single"/>
        </w:rPr>
        <w:t xml:space="preserve">（加盖CA电子公章）</w:t>
      </w:r>
      <w:r/>
    </w:p>
    <w:p>
      <w:pPr>
        <w:ind w:firstLine="420"/>
        <w:spacing w:line="360" w:lineRule="auto"/>
        <w:tabs>
          <w:tab w:val="left" w:pos="360" w:leader="none"/>
        </w:tabs>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单位地址：</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日期：</w:t>
      </w:r>
      <w:bookmarkStart w:id="87" w:name="_格式3__银行出具的资信证明"/>
      <w:r/>
      <w:bookmarkEnd w:id="87"/>
      <w:r/>
      <w:bookmarkStart w:id="88" w:name="_Hlt26955070"/>
      <w:r/>
      <w:bookmarkEnd w:id="88"/>
      <w:r/>
      <w:bookmarkStart w:id="89" w:name="_Hlt26671380"/>
      <w:r/>
      <w:bookmarkEnd w:id="89"/>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Cs/>
          <w:color w:val="auto"/>
          <w:szCs w:val="21"/>
          <w:highlight w:val="none"/>
        </w:rPr>
        <w:t xml:space="preserve">法定代表人及被授权人身份证复印件：</w:t>
      </w:r>
      <w:r/>
    </w:p>
    <w:p>
      <w:pPr>
        <w:jc w:val="center"/>
        <w:spacing w:line="360" w:lineRule="auto"/>
        <w:rPr>
          <w:rFonts w:hint="eastAsia" w:ascii="宋体" w:hAnsi="宋体" w:cs="宋体"/>
          <w:b/>
          <w:bCs/>
          <w:color w:val="auto"/>
          <w:szCs w:val="21"/>
          <w:highlight w:val="none"/>
        </w:rPr>
      </w:pPr>
      <w:r/>
      <w:bookmarkStart w:id="90" w:name="_Toc18665"/>
      <w:r>
        <w:rPr>
          <w:rFonts w:hint="eastAsia" w:ascii="宋体" w:hAnsi="宋体" w:cs="宋体"/>
          <w:b/>
          <w:bCs/>
          <w:color w:val="auto"/>
          <w:szCs w:val="21"/>
          <w:highlight w:val="none"/>
        </w:rPr>
        <w:t xml:space="preserve">中小企业声明函（工程、服务）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Style w:val="1027"/>
          <w:rFonts w:hint="eastAsia" w:ascii="宋体" w:hAnsi="宋体" w:cs="宋体"/>
          <w:color w:val="auto"/>
          <w:szCs w:val="21"/>
          <w:highlight w:val="none"/>
          <w:u w:val="single"/>
        </w:rPr>
        <w:t xml:space="preserve">其他未列明行业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szCs w:val="21"/>
          <w:highlight w:val="none"/>
          <w:vertAlign w:val="superscript"/>
        </w:rPr>
        <w:t xml:space="preserve">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b/>
          <w:bCs/>
          <w:color w:val="auto"/>
          <w:szCs w:val="21"/>
          <w:highlight w:val="none"/>
          <w:u w:val="single"/>
        </w:rPr>
        <w:t xml:space="preserve">（</w:t>
      </w:r>
      <w:r>
        <w:rPr>
          <w:rStyle w:val="1027"/>
          <w:rFonts w:hint="eastAsia" w:ascii="宋体" w:hAnsi="宋体" w:cs="宋体"/>
          <w:color w:val="auto"/>
          <w:szCs w:val="21"/>
          <w:highlight w:val="none"/>
          <w:u w:val="single"/>
        </w:rPr>
        <w:t xml:space="preserve">其他未列明行业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3.企业声明函请完整填写，中标后将公示。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5.货物类声明函应涵盖本项目（分包）所有货物，否则价格不作扣除。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7.《中华人民共和国政府采购法》</w:t>
      </w:r>
      <w:r>
        <w:rPr>
          <w:rFonts w:hint="eastAsia" w:ascii="宋体" w:hAnsi="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rPr>
          <w:rStyle w:val="1027"/>
          <w:rFonts w:hint="eastAsia" w:ascii="宋体" w:hAnsi="宋体" w:cs="宋体"/>
          <w:color w:val="auto"/>
          <w:szCs w:val="21"/>
          <w:highlight w:val="none"/>
        </w:rPr>
      </w:pPr>
      <w:r>
        <w:rPr>
          <w:rStyle w:val="1027"/>
          <w:rFonts w:hint="eastAsia" w:ascii="宋体" w:hAnsi="宋体" w:cs="宋体"/>
          <w:color w:val="auto"/>
          <w:szCs w:val="21"/>
          <w:highlight w:val="none"/>
        </w:rPr>
        <w:br w:type="page" w:clear="all"/>
      </w:r>
      <w:r/>
    </w:p>
    <w:p>
      <w:pPr>
        <w:pStyle w:val="1022"/>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27"/>
          <w:rFonts w:hint="eastAsia" w:ascii="宋体" w:hAnsi="宋体" w:cs="宋体"/>
          <w:color w:val="auto"/>
          <w:sz w:val="21"/>
          <w:szCs w:val="21"/>
          <w:highlight w:val="none"/>
        </w:rPr>
        <w:t xml:space="preserve">中小微企业划型标准如下：</w:t>
      </w:r>
      <w:r/>
    </w:p>
    <w:tbl>
      <w:tblPr>
        <w:tblStyle w:val="799"/>
        <w:tblW w:w="4998" w:type="pct"/>
        <w:tblCellSpacing w:w="15" w:type="dxa"/>
        <w:tblInd w:w="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552"/>
        <w:gridCol w:w="1868"/>
        <w:gridCol w:w="1268"/>
        <w:gridCol w:w="1517"/>
        <w:gridCol w:w="1835"/>
        <w:gridCol w:w="1611"/>
      </w:tblGrid>
      <w:tr>
        <w:trPr>
          <w:tblCellSpacing w:w="15" w:type="dxa"/>
          <w:trHeight w:val="285"/>
        </w:trPr>
        <w:tc>
          <w:tcPr>
            <w:tcMar>
              <w:left w:w="105" w:type="dxa"/>
              <w:top w:w="0" w:type="dxa"/>
              <w:right w:w="105" w:type="dxa"/>
              <w:bottom w:w="0" w:type="dxa"/>
            </w:tcMar>
            <w:tcW w:w="781" w:type="pct"/>
            <w:vAlign w:val="center"/>
            <w:textDirection w:val="lrTb"/>
            <w:noWrap w:val="false"/>
          </w:tcPr>
          <w:p>
            <w:pPr>
              <w:pStyle w:val="1022"/>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中型</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小型</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78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50≤Y＜500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工业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Y＜300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20≤X＜200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5≤X＜20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X＜5</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50≤X＜300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10≤X＜50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100≤Y＜500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100≤X＜200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20≤X＜300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X＜20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1022"/>
              <w:ind w:firstLine="420"/>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50≤Y＜1000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781" w:type="pct"/>
            <w:vAlign w:val="center"/>
            <w:vMerge w:val="restart"/>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r>
        <w:trPr>
          <w:tblCellSpacing w:w="15" w:type="dxa"/>
          <w:trHeight w:val="225"/>
        </w:trPr>
        <w:tc>
          <w:tcPr>
            <w:tcW w:w="781"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万元</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78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952"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64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人</w:t>
            </w:r>
            <w:r/>
          </w:p>
        </w:tc>
        <w:tc>
          <w:tcPr>
            <w:tcMar>
              <w:left w:w="105" w:type="dxa"/>
              <w:top w:w="0" w:type="dxa"/>
              <w:right w:w="105" w:type="dxa"/>
              <w:bottom w:w="0" w:type="dxa"/>
            </w:tcMar>
            <w:tcW w:w="770"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100≤X＜300</w:t>
            </w:r>
            <w:r/>
          </w:p>
        </w:tc>
        <w:tc>
          <w:tcPr>
            <w:tcMar>
              <w:left w:w="105" w:type="dxa"/>
              <w:top w:w="0" w:type="dxa"/>
              <w:right w:w="105" w:type="dxa"/>
              <w:bottom w:w="0" w:type="dxa"/>
            </w:tcMar>
            <w:tcW w:w="935"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10≤X＜100</w:t>
            </w:r>
            <w:r/>
          </w:p>
        </w:tc>
        <w:tc>
          <w:tcPr>
            <w:tcMar>
              <w:left w:w="105" w:type="dxa"/>
              <w:top w:w="0" w:type="dxa"/>
              <w:right w:w="105" w:type="dxa"/>
              <w:bottom w:w="0" w:type="dxa"/>
            </w:tcMar>
            <w:tcW w:w="811" w:type="pct"/>
            <w:vAlign w:val="center"/>
            <w:textDirection w:val="lrTb"/>
            <w:noWrap w:val="false"/>
          </w:tcPr>
          <w:p>
            <w:pPr>
              <w:pStyle w:val="1022"/>
              <w:jc w:val="center"/>
              <w:spacing w:after="150" w:line="360" w:lineRule="auto"/>
              <w:widowControl/>
              <w:rPr>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X＜10</w:t>
            </w:r>
            <w:r/>
          </w:p>
        </w:tc>
      </w:tr>
    </w:tbl>
    <w:p>
      <w:pPr>
        <w:pStyle w:val="1022"/>
        <w:spacing w:before="300" w:after="452" w:line="360" w:lineRule="auto"/>
        <w:widowControl/>
        <w:rPr>
          <w:rStyle w:val="1027"/>
          <w:rFonts w:hint="eastAsia" w:ascii="宋体" w:hAnsi="宋体" w:cs="宋体"/>
          <w:color w:val="auto"/>
          <w:sz w:val="21"/>
          <w:szCs w:val="21"/>
          <w:highlight w:val="none"/>
        </w:rPr>
      </w:pPr>
      <w:r>
        <w:rPr>
          <w:rStyle w:val="1027"/>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1001"/>
        <w:rPr>
          <w:rFonts w:hint="eastAsia" w:ascii="宋体" w:hAnsi="宋体" w:eastAsia="宋体" w:cs="宋体"/>
          <w:color w:val="auto"/>
          <w:sz w:val="21"/>
          <w:szCs w:val="21"/>
          <w:highlight w:val="none"/>
        </w:rPr>
      </w:pPr>
      <w:r/>
      <w:bookmarkStart w:id="91" w:name="_Toc7282"/>
      <w:r>
        <w:rPr>
          <w:rFonts w:hint="eastAsia" w:ascii="宋体" w:hAnsi="宋体" w:eastAsia="宋体" w:cs="宋体"/>
          <w:color w:val="auto"/>
          <w:sz w:val="21"/>
          <w:szCs w:val="21"/>
          <w:highlight w:val="none"/>
        </w:rPr>
        <w:t xml:space="preserve">二、符合性审查响应对照表</w:t>
      </w:r>
      <w:bookmarkEnd w:id="83"/>
      <w:r/>
      <w:bookmarkEnd w:id="84"/>
      <w:r/>
      <w:bookmarkEnd w:id="85"/>
      <w:r/>
      <w:bookmarkEnd w:id="86"/>
      <w:r/>
      <w:bookmarkEnd w:id="90"/>
      <w:r/>
      <w:bookmarkEnd w:id="91"/>
      <w:r/>
      <w:r/>
    </w:p>
    <w:p>
      <w:pPr>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79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01"/>
        <w:rPr>
          <w:rFonts w:hint="eastAsia" w:ascii="宋体" w:hAnsi="宋体" w:eastAsia="宋体" w:cs="宋体"/>
          <w:color w:val="auto"/>
          <w:sz w:val="21"/>
          <w:szCs w:val="21"/>
          <w:highlight w:val="none"/>
        </w:rPr>
      </w:pPr>
      <w:r/>
      <w:bookmarkStart w:id="92" w:name="_Toc23689"/>
      <w:r/>
      <w:bookmarkStart w:id="93" w:name="_Toc19266"/>
      <w:r/>
      <w:bookmarkStart w:id="94" w:name="_Toc23068"/>
      <w:r/>
      <w:bookmarkStart w:id="95" w:name="_Toc29406"/>
      <w:r/>
      <w:bookmarkStart w:id="96" w:name="_Toc23420"/>
      <w:r/>
      <w:bookmarkStart w:id="97" w:name="_Toc2005"/>
      <w:r>
        <w:rPr>
          <w:rFonts w:hint="eastAsia" w:ascii="宋体" w:hAnsi="宋体" w:eastAsia="宋体" w:cs="宋体"/>
          <w:color w:val="auto"/>
          <w:sz w:val="21"/>
          <w:szCs w:val="21"/>
          <w:highlight w:val="none"/>
        </w:rPr>
        <w:t xml:space="preserve">三、非实质性响应对照表</w:t>
      </w:r>
      <w:bookmarkEnd w:id="92"/>
      <w:r/>
      <w:bookmarkEnd w:id="93"/>
      <w:r/>
      <w:bookmarkEnd w:id="94"/>
      <w:r/>
      <w:bookmarkEnd w:id="95"/>
      <w:r/>
      <w:bookmarkEnd w:id="96"/>
      <w:r/>
      <w:bookmarkEnd w:id="97"/>
      <w:r/>
      <w:r/>
    </w:p>
    <w:p>
      <w:pPr>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79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742"/>
        <w:gridCol w:w="1768"/>
        <w:gridCol w:w="1378"/>
      </w:tblGrid>
      <w:tr>
        <w:trPr>
          <w:trHeight w:val="882"/>
        </w:trPr>
        <w:tc>
          <w:tcPr>
            <w:tcW w:w="353"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001"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43"/>
        </w:trPr>
        <w:tc>
          <w:tcPr>
            <w:tcW w:w="353"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3"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001"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contextualSpacing/>
        <w:jc w:val="center"/>
        <w:spacing w:line="6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ind w:firstLine="42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p>
    <w:p>
      <w:pPr>
        <w:ind w:firstLine="420"/>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3.中标/成交供应商为残疾人福利性单位的，此声明函将随中标/成交结果同时公告，接受社会监督。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供应商全称（加盖CA电子公章）：</w:t>
      </w:r>
      <w:r/>
    </w:p>
    <w:p>
      <w:pPr>
        <w:ind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b/>
          <w:bCs/>
          <w:color w:val="auto"/>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23"/>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29"/>
          <w:rFonts w:hint="eastAsia" w:ascii="宋体" w:hAnsi="宋体" w:cs="宋体"/>
          <w:i w:val="0"/>
          <w:color w:val="auto"/>
          <w:sz w:val="21"/>
          <w:szCs w:val="21"/>
          <w:highlight w:val="none"/>
          <w:u w:val="single"/>
          <w:shd w:val="clear" w:color="auto" w:fill="ffffff"/>
        </w:rPr>
        <w:t xml:space="preserve">（产品名称1）</w:t>
      </w:r>
      <w:r>
        <w:rPr>
          <w:rStyle w:val="829"/>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29"/>
          <w:rFonts w:hint="eastAsia" w:ascii="宋体" w:hAnsi="宋体" w:cs="宋体"/>
          <w:i w:val="0"/>
          <w:color w:val="auto"/>
          <w:sz w:val="21"/>
          <w:szCs w:val="21"/>
          <w:highlight w:val="none"/>
          <w:u w:val="single"/>
          <w:shd w:val="clear" w:color="auto" w:fill="ffffff"/>
        </w:rPr>
        <w:t xml:space="preserve">（厂名）</w:t>
      </w:r>
      <w:r>
        <w:rPr>
          <w:rStyle w:val="829"/>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29"/>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29"/>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29"/>
          <w:rFonts w:hint="eastAsia" w:ascii="宋体" w:hAnsi="宋体" w:cs="宋体"/>
          <w:i w:val="0"/>
          <w:color w:val="auto"/>
          <w:sz w:val="21"/>
          <w:szCs w:val="21"/>
          <w:highlight w:val="none"/>
          <w:u w:val="single"/>
          <w:shd w:val="clear" w:color="auto" w:fill="ffffff"/>
        </w:rPr>
        <w:t xml:space="preserve">（规定比例）</w:t>
      </w:r>
      <w:r>
        <w:rPr>
          <w:rStyle w:val="829"/>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2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29"/>
          <w:rFonts w:hint="eastAsia" w:ascii="宋体" w:hAnsi="宋体" w:cs="宋体"/>
          <w:i w:val="0"/>
          <w:color w:val="auto"/>
          <w:sz w:val="21"/>
          <w:szCs w:val="21"/>
          <w:highlight w:val="none"/>
          <w:u w:val="single"/>
          <w:shd w:val="clear" w:color="auto" w:fill="ffffff"/>
        </w:rPr>
        <w:t xml:space="preserve">（关键组件）</w:t>
      </w:r>
      <w:r>
        <w:rPr>
          <w:rStyle w:val="829"/>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2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29"/>
          <w:rFonts w:hint="eastAsia" w:ascii="宋体" w:hAnsi="宋体" w:cs="宋体"/>
          <w:i w:val="0"/>
          <w:color w:val="auto"/>
          <w:sz w:val="21"/>
          <w:szCs w:val="21"/>
          <w:highlight w:val="none"/>
          <w:u w:val="single"/>
          <w:shd w:val="clear" w:color="auto" w:fill="ffffff"/>
        </w:rPr>
        <w:t xml:space="preserve">（关键工序）</w:t>
      </w:r>
      <w:r>
        <w:rPr>
          <w:rStyle w:val="829"/>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2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29"/>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29"/>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2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29"/>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29"/>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29"/>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29"/>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29"/>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23"/>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23"/>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23"/>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2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2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2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23"/>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2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2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23"/>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center"/>
        <w:widowControl/>
        <w:rPr>
          <w:rFonts w:hint="eastAsia" w:ascii="宋体" w:hAnsi="宋体" w:cs="宋体"/>
          <w:b/>
          <w:bCs/>
          <w:color w:val="auto"/>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6"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cs="宋体"/>
          <w:b/>
          <w:bCs/>
          <w:color w:val="auto"/>
          <w:szCs w:val="21"/>
          <w:highlight w:val="none"/>
        </w:rPr>
      </w:pPr>
      <w:r/>
      <w:bookmarkStart w:id="98" w:name="_Toc19910"/>
      <w:r/>
      <w:bookmarkStart w:id="99" w:name="_Toc25382"/>
      <w:r>
        <w:rPr>
          <w:rFonts w:hint="eastAsia" w:ascii="宋体" w:hAnsi="宋体" w:cs="宋体"/>
          <w:b/>
          <w:bCs/>
          <w:color w:val="auto"/>
          <w:szCs w:val="21"/>
          <w:highlight w:val="none"/>
        </w:rPr>
        <w:br w:type="page" w:clear="all"/>
      </w:r>
      <w:r/>
    </w:p>
    <w:p>
      <w:pPr>
        <w:jc w:val="center"/>
        <w:rPr>
          <w:rFonts w:hint="eastAsia" w:ascii="宋体" w:hAnsi="宋体" w:cs="宋体"/>
          <w:color w:val="auto"/>
          <w:szCs w:val="21"/>
          <w:highlight w:val="none"/>
        </w:rPr>
      </w:pPr>
      <w:r>
        <w:rPr>
          <w:rFonts w:hint="eastAsia" w:ascii="宋体" w:hAnsi="宋体" w:cs="宋体"/>
          <w:b/>
          <w:bCs/>
          <w:color w:val="auto"/>
          <w:szCs w:val="21"/>
          <w:highlight w:val="none"/>
        </w:rPr>
        <w:t xml:space="preserve">四、开标一览表</w:t>
      </w:r>
      <w:bookmarkEnd w:id="98"/>
      <w:r/>
      <w:bookmarkEnd w:id="99"/>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826"/>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3"/>
        <w:gridCol w:w="2424"/>
        <w:gridCol w:w="3350"/>
      </w:tblGrid>
      <w:tr>
        <w:trPr/>
        <w:tc>
          <w:tcPr>
            <w:tcW w:w="3303" w:type="dxa"/>
            <w:vAlign w:val="center"/>
            <w:textDirection w:val="lrTb"/>
            <w:noWrap w:val="false"/>
          </w:tcPr>
          <w:p>
            <w:pPr>
              <w:pStyle w:val="1071"/>
              <w:jc w:val="center"/>
              <w:spacing w:line="700" w:lineRule="exact"/>
              <w:rPr>
                <w:rFonts w:hint="eastAsia" w:ascii="宋体" w:hAnsi="宋体" w:cs="宋体"/>
                <w:color w:val="auto"/>
                <w:szCs w:val="21"/>
                <w:highlight w:val="none"/>
              </w:rPr>
            </w:pPr>
            <w:r/>
            <w:bookmarkStart w:id="100" w:name="OLE_LINK35"/>
            <w:r>
              <w:rPr>
                <w:rFonts w:hint="eastAsia" w:ascii="宋体" w:hAnsi="宋体" w:cs="宋体"/>
                <w:color w:val="auto"/>
                <w:szCs w:val="21"/>
                <w:highlight w:val="none"/>
              </w:rPr>
              <w:t xml:space="preserve">项目名称</w:t>
            </w:r>
            <w:bookmarkEnd w:id="100"/>
            <w:r/>
            <w:r/>
          </w:p>
        </w:tc>
        <w:tc>
          <w:tcPr>
            <w:tcW w:w="2424"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3350"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w:t>
            </w:r>
            <w:r/>
          </w:p>
        </w:tc>
      </w:tr>
      <w:tr>
        <w:trPr>
          <w:trHeight w:val="840"/>
        </w:trPr>
        <w:tc>
          <w:tcPr>
            <w:tcW w:w="3303" w:type="dxa"/>
            <w:vAlign w:val="center"/>
            <w:vMerge w:val="restart"/>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扬州大学附属医院京沪高级医学中心和急诊监护室陪护服务项目</w:t>
            </w:r>
            <w:r/>
          </w:p>
        </w:tc>
        <w:tc>
          <w:tcPr>
            <w:tcW w:w="2424"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固定支付陪护人员费用</w:t>
            </w:r>
            <w:r/>
          </w:p>
        </w:tc>
        <w:tc>
          <w:tcPr>
            <w:tcW w:w="3350"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_____（小写：____）元/月/人</w:t>
            </w:r>
            <w:r/>
          </w:p>
        </w:tc>
      </w:tr>
      <w:tr>
        <w:trPr>
          <w:trHeight w:val="840"/>
        </w:trPr>
        <w:tc>
          <w:tcPr>
            <w:tcW w:w="3303" w:type="dxa"/>
            <w:vAlign w:val="center"/>
            <w:vMerge w:val="continue"/>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424"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临时增加陪护人员费用</w:t>
            </w:r>
            <w:r/>
          </w:p>
        </w:tc>
        <w:tc>
          <w:tcPr>
            <w:tcW w:w="3350"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_____（小写：____）元/人/天</w:t>
            </w:r>
            <w:r/>
          </w:p>
        </w:tc>
      </w:tr>
      <w:tr>
        <w:trPr/>
        <w:tc>
          <w:tcPr>
            <w:tcW w:w="3303" w:type="dxa"/>
            <w:vAlign w:val="center"/>
            <w:textDirection w:val="lrTb"/>
            <w:noWrap w:val="false"/>
          </w:tcPr>
          <w:p>
            <w:pPr>
              <w:pStyle w:val="1071"/>
              <w:jc w:val="center"/>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投标总报价（大写）：</w:t>
            </w:r>
            <w:r/>
          </w:p>
        </w:tc>
        <w:tc>
          <w:tcPr>
            <w:gridSpan w:val="2"/>
            <w:tcW w:w="5774" w:type="dxa"/>
            <w:vAlign w:val="center"/>
            <w:textDirection w:val="lrTb"/>
            <w:noWrap w:val="false"/>
          </w:tcPr>
          <w:p>
            <w:pPr>
              <w:pStyle w:val="1071"/>
              <w:jc w:val="left"/>
              <w:spacing w:line="7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两年总报价金额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US" w:eastAsia="zh-CN"/>
              </w:rPr>
              <w:t xml:space="preserve">万</w:t>
            </w:r>
            <w:r>
              <w:rPr>
                <w:rFonts w:hint="eastAsia" w:ascii="宋体" w:hAnsi="宋体" w:cs="宋体"/>
                <w:color w:val="auto"/>
                <w:szCs w:val="21"/>
                <w:highlight w:val="none"/>
              </w:rPr>
              <w:t xml:space="preserve">元</w:t>
            </w:r>
            <w:r>
              <w:rPr>
                <w:rFonts w:hint="eastAsia" w:ascii="宋体" w:hAnsi="宋体" w:cs="宋体"/>
                <w:color w:val="auto"/>
                <w:szCs w:val="21"/>
                <w:highlight w:val="none"/>
                <w:lang w:eastAsia="zh-CN"/>
              </w:rPr>
              <w:t xml:space="preserve">（即</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eastAsia="zh-CN"/>
              </w:rPr>
              <w:t xml:space="preserve">万元/年）</w:t>
            </w:r>
            <w:r/>
          </w:p>
        </w:tc>
      </w:tr>
      <w:tr>
        <w:trPr/>
        <w:tc>
          <w:tcPr>
            <w:gridSpan w:val="3"/>
            <w:tcW w:w="9077" w:type="dxa"/>
            <w:vAlign w:val="center"/>
            <w:textDirection w:val="lrTb"/>
            <w:noWrap w:val="false"/>
          </w:tcPr>
          <w:p>
            <w:pPr>
              <w:pStyle w:val="1071"/>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备注：</w:t>
            </w:r>
            <w:r>
              <w:rPr>
                <w:rFonts w:hint="eastAsia" w:ascii="宋体" w:hAnsi="宋体" w:cs="宋体"/>
                <w:color w:val="auto"/>
                <w:szCs w:val="21"/>
                <w:highlight w:val="none"/>
              </w:rPr>
              <w:t xml:space="preserve">本项目最高限价144万元（即72万元/年），医院固定支付陪护人员费用最高限价9250元/月/人，临时增加陪护人员费用最高限价315元/人/天，投标报价超过最高限价做无效投标处理。</w:t>
            </w:r>
            <w:r/>
          </w:p>
        </w:tc>
      </w:tr>
    </w:tbl>
    <w:p>
      <w:pPr>
        <w:pStyle w:val="1071"/>
        <w:jc w:val="right"/>
        <w:spacing w:line="7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 xml:space="preserve">日期：    年   月    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1007"/>
        <w:ind w:firstLine="64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640"/>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2"/>
        </w:numPr>
        <w:ind w:left="-2" w:firstLine="420"/>
        <w:jc w:val="center"/>
        <w:rPr>
          <w:rFonts w:hint="eastAsia" w:ascii="宋体" w:hAnsi="宋体" w:cs="宋体"/>
          <w:b/>
          <w:bCs/>
          <w:color w:val="auto"/>
          <w:szCs w:val="21"/>
          <w:highlight w:val="none"/>
        </w:rPr>
      </w:pPr>
      <w:r>
        <w:rPr>
          <w:rFonts w:hint="eastAsia" w:ascii="宋体" w:hAnsi="宋体" w:cs="宋体"/>
          <w:color w:val="auto"/>
          <w:szCs w:val="21"/>
          <w:highlight w:val="none"/>
        </w:rPr>
        <w:br w:type="page" w:clear="all"/>
      </w:r>
      <w:bookmarkStart w:id="101" w:name="_Toc20323"/>
      <w:r/>
      <w:bookmarkStart w:id="102" w:name="_Toc17891"/>
      <w:r>
        <w:rPr>
          <w:rFonts w:hint="eastAsia" w:ascii="宋体" w:hAnsi="宋体" w:cs="宋体"/>
          <w:b/>
          <w:bCs/>
          <w:color w:val="auto"/>
          <w:szCs w:val="21"/>
          <w:highlight w:val="none"/>
        </w:rPr>
        <w:t xml:space="preserve">投标分项报价表</w:t>
      </w:r>
      <w:bookmarkEnd w:id="101"/>
      <w:r/>
      <w:bookmarkEnd w:id="102"/>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left="420"/>
        <w:rPr>
          <w:rFonts w:hint="eastAsia" w:ascii="宋体" w:hAnsi="宋体" w:cs="宋体"/>
          <w:b/>
          <w:bCs/>
          <w:color w:val="auto"/>
          <w:szCs w:val="21"/>
          <w:highlight w:val="none"/>
        </w:rPr>
      </w:pPr>
      <w:r>
        <w:rPr>
          <w:rFonts w:hint="eastAsia" w:ascii="宋体" w:hAnsi="宋体" w:cs="宋体"/>
          <w:b/>
          <w:bCs/>
          <w:color w:val="auto"/>
          <w:szCs w:val="21"/>
          <w:highlight w:val="none"/>
        </w:rPr>
      </w:r>
      <w:r/>
    </w:p>
    <w:tbl>
      <w:tblPr>
        <w:tblStyle w:val="799"/>
        <w:tblW w:w="9444" w:type="dxa"/>
        <w:tblInd w:w="-15" w:type="dxa"/>
        <w:tblLayout w:type="fixed"/>
        <w:tblCellMar>
          <w:left w:w="15" w:type="dxa"/>
          <w:top w:w="15" w:type="dxa"/>
          <w:right w:w="15" w:type="dxa"/>
          <w:bottom w:w="0" w:type="dxa"/>
        </w:tblCellMar>
        <w:tblLook w:val="04A0" w:firstRow="1" w:lastRow="0" w:firstColumn="1" w:lastColumn="0" w:noHBand="0" w:noVBand="1"/>
      </w:tblPr>
      <w:tblGrid>
        <w:gridCol w:w="831"/>
        <w:gridCol w:w="2161"/>
        <w:gridCol w:w="1627"/>
        <w:gridCol w:w="1355"/>
        <w:gridCol w:w="1139"/>
        <w:gridCol w:w="1319"/>
        <w:gridCol w:w="1012"/>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服务名称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服务内容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jc w:val="center"/>
              <w:rPr>
                <w:rStyle w:val="1059"/>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50"/>
        </w:trPr>
        <w:tc>
          <w:tcPr>
            <w:gridSpan w:val="7"/>
            <w:tcBorders>
              <w:top w:val="single" w:color="000000" w:sz="4" w:space="0"/>
              <w:left w:val="single" w:color="000000" w:sz="4" w:space="0"/>
              <w:bottom w:val="single" w:color="000000" w:sz="4" w:space="0"/>
              <w:right w:val="single" w:color="auto" w:sz="4" w:space="0"/>
            </w:tcBorders>
            <w:tcMar>
              <w:left w:w="15" w:type="dxa"/>
              <w:top w:w="15" w:type="dxa"/>
              <w:right w:w="15" w:type="dxa"/>
            </w:tcMar>
            <w:tcW w:w="944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两年投标总报价（人民币：元）</w:t>
            </w:r>
            <w:r>
              <w:rPr>
                <w:rFonts w:hint="eastAsia" w:ascii="宋体" w:hAnsi="宋体" w:cs="宋体"/>
                <w:color w:val="auto"/>
                <w:szCs w:val="21"/>
                <w:highlight w:val="none"/>
                <w:u w:val="single"/>
              </w:rPr>
              <w:t xml:space="preserve">                             </w:t>
            </w:r>
            <w:r/>
          </w:p>
        </w:tc>
      </w:tr>
      <w:tr>
        <w:trPr>
          <w:trHeight w:val="811"/>
        </w:trPr>
        <w:tc>
          <w:tcPr>
            <w:gridSpan w:val="7"/>
            <w:tcBorders>
              <w:top w:val="single" w:color="000000" w:sz="4" w:space="0"/>
              <w:left w:val="single" w:color="000000" w:sz="4" w:space="0"/>
              <w:bottom w:val="single" w:color="000000" w:sz="4" w:space="0"/>
              <w:right w:val="single" w:color="auto" w:sz="4" w:space="0"/>
            </w:tcBorders>
            <w:tcMar>
              <w:left w:w="15" w:type="dxa"/>
              <w:top w:w="15" w:type="dxa"/>
              <w:right w:w="15" w:type="dxa"/>
            </w:tcMar>
            <w:tcW w:w="9444" w:type="dxa"/>
            <w:vAlign w:val="center"/>
            <w:textDirection w:val="lrTb"/>
            <w:noWrap w:val="false"/>
          </w:tcPr>
          <w:p>
            <w:pP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本采购包中提供的符合本国产品标准的产品成本之和占该采购包提供的全部产品成本之和的比例为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w:t>
            </w:r>
            <w:r/>
          </w:p>
        </w:tc>
      </w:tr>
    </w:tbl>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right"/>
        <w:widowControl/>
        <w:rPr>
          <w:rFonts w:hint="eastAsia" w:ascii="宋体" w:hAnsi="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1.本项目投标报价应按招标文件要求详细列明各项服务名称、服务内容、数量、单价、合价等内容，报价应清晰、完整、准确。</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2.“投标分项报价表”中“投标总报价”数额应当与“开标一览表”中“投标总报价”数额一致。</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4.本项目招标代理服务费应包含在投标总价中，具体计算方式详见招标文件第二章4.3条要求。</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00"/>
        <w:rPr>
          <w:rFonts w:hint="eastAsia" w:ascii="宋体" w:hAnsi="宋体" w:cs="宋体"/>
          <w:b/>
          <w:bCs/>
          <w:color w:val="auto"/>
          <w:highlight w:val="none"/>
        </w:rPr>
      </w:pPr>
      <w:r>
        <w:rPr>
          <w:rFonts w:hint="eastAsia" w:ascii="宋体" w:hAnsi="宋体" w:cs="宋体"/>
          <w:b/>
          <w:bCs/>
          <w:color w:val="auto"/>
          <w:highlight w:val="none"/>
        </w:rPr>
      </w:r>
      <w:r/>
    </w:p>
    <w:p>
      <w:pPr>
        <w:pStyle w:val="800"/>
        <w:rPr>
          <w:rFonts w:hint="eastAsia" w:ascii="宋体" w:hAnsi="宋体" w:cs="宋体"/>
          <w:b/>
          <w:bCs/>
          <w:color w:val="auto"/>
          <w:highlight w:val="none"/>
        </w:rPr>
      </w:pPr>
      <w:r>
        <w:rPr>
          <w:rFonts w:hint="eastAsia" w:ascii="宋体" w:hAnsi="宋体" w:cs="宋体"/>
          <w:b/>
          <w:bCs/>
          <w:color w:val="auto"/>
          <w:highlight w:val="none"/>
        </w:rPr>
      </w:r>
      <w:r/>
    </w:p>
    <w:p>
      <w:pPr>
        <w:pStyle w:val="800"/>
        <w:rPr>
          <w:rFonts w:hint="eastAsia" w:ascii="宋体" w:hAnsi="宋体" w:cs="宋体"/>
          <w:b/>
          <w:bCs/>
          <w:color w:val="auto"/>
          <w:highlight w:val="none"/>
        </w:rPr>
      </w:pPr>
      <w:r>
        <w:rPr>
          <w:rFonts w:hint="eastAsia" w:ascii="宋体" w:hAnsi="宋体" w:cs="宋体"/>
          <w:b/>
          <w:bCs/>
          <w:color w:val="auto"/>
          <w:highlight w:val="none"/>
        </w:rPr>
      </w:r>
      <w:r/>
    </w:p>
    <w:p>
      <w:pPr>
        <w:pStyle w:val="800"/>
        <w:rPr>
          <w:rFonts w:hint="eastAsia" w:ascii="宋体" w:hAnsi="宋体" w:cs="宋体"/>
          <w:b/>
          <w:bCs/>
          <w:color w:val="auto"/>
          <w:highlight w:val="none"/>
        </w:rPr>
      </w:pPr>
      <w:r>
        <w:rPr>
          <w:rFonts w:hint="eastAsia" w:ascii="宋体" w:hAnsi="宋体" w:cs="宋体"/>
          <w:b/>
          <w:bCs/>
          <w:color w:val="auto"/>
          <w:highlight w:val="none"/>
        </w:rPr>
      </w:r>
      <w:r/>
    </w:p>
    <w:p>
      <w:pPr>
        <w:pStyle w:val="800"/>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01"/>
        <w:rPr>
          <w:rFonts w:hint="eastAsia" w:ascii="宋体" w:hAnsi="宋体" w:eastAsia="宋体" w:cs="宋体"/>
          <w:color w:val="auto"/>
          <w:sz w:val="21"/>
          <w:szCs w:val="21"/>
          <w:highlight w:val="none"/>
        </w:rPr>
      </w:pPr>
      <w:r/>
      <w:bookmarkStart w:id="103" w:name="_Toc16517"/>
      <w:r/>
      <w:bookmarkStart w:id="104" w:name="_Toc9678"/>
      <w:r/>
      <w:bookmarkStart w:id="105" w:name="_Toc4598"/>
      <w:r/>
      <w:bookmarkStart w:id="106" w:name="_Toc5967"/>
      <w:r/>
      <w:bookmarkStart w:id="107" w:name="_Toc20473"/>
      <w:r/>
      <w:bookmarkStart w:id="108" w:name="_Toc10043"/>
      <w:r>
        <w:rPr>
          <w:rFonts w:hint="eastAsia" w:ascii="宋体" w:hAnsi="宋体" w:eastAsia="宋体" w:cs="宋体"/>
          <w:color w:val="auto"/>
          <w:sz w:val="21"/>
          <w:szCs w:val="21"/>
          <w:highlight w:val="none"/>
        </w:rPr>
        <w:t xml:space="preserve">六、</w:t>
      </w:r>
      <w:bookmarkEnd w:id="103"/>
      <w:r/>
      <w:bookmarkEnd w:id="104"/>
      <w:r/>
      <w:bookmarkEnd w:id="105"/>
      <w:r/>
      <w:bookmarkEnd w:id="106"/>
      <w:r>
        <w:rPr>
          <w:rFonts w:hint="eastAsia" w:ascii="宋体" w:hAnsi="宋体" w:eastAsia="宋体" w:cs="宋体"/>
          <w:color w:val="auto"/>
          <w:sz w:val="21"/>
          <w:szCs w:val="21"/>
          <w:highlight w:val="none"/>
        </w:rPr>
        <w:t xml:space="preserve">技术要求响应及偏离表</w:t>
      </w:r>
      <w:bookmarkEnd w:id="107"/>
      <w:r/>
      <w:bookmarkEnd w:id="108"/>
      <w:r/>
      <w:r/>
    </w:p>
    <w:tbl>
      <w:tblPr>
        <w:tblStyle w:val="799"/>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3124"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W w:w="3124"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305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3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82"/>
        </w:trPr>
        <w:tc>
          <w:tcPr>
            <w:tcW w:w="1202"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3124"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W w:w="305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33"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1"/>
        <w:rPr>
          <w:rFonts w:hint="eastAsia" w:ascii="宋体" w:hAnsi="宋体" w:eastAsia="宋体" w:cs="宋体"/>
          <w:color w:val="auto"/>
          <w:sz w:val="21"/>
          <w:szCs w:val="21"/>
          <w:highlight w:val="none"/>
        </w:rPr>
      </w:pPr>
      <w:r/>
      <w:bookmarkStart w:id="109" w:name="_Hlt26955054"/>
      <w:r/>
      <w:bookmarkEnd w:id="109"/>
      <w:r/>
      <w:bookmarkStart w:id="110" w:name="_Toc16820"/>
      <w:r/>
      <w:bookmarkStart w:id="111" w:name="_Toc32154"/>
      <w:r/>
      <w:bookmarkStart w:id="112" w:name="_Toc9869"/>
      <w:r>
        <w:rPr>
          <w:rFonts w:hint="eastAsia" w:ascii="宋体" w:hAnsi="宋体" w:eastAsia="宋体" w:cs="宋体"/>
          <w:color w:val="auto"/>
          <w:sz w:val="21"/>
          <w:szCs w:val="21"/>
          <w:highlight w:val="none"/>
        </w:rPr>
        <w:t xml:space="preserve">七、</w:t>
      </w:r>
      <w:bookmarkEnd w:id="110"/>
      <w:r/>
      <w:bookmarkEnd w:id="111"/>
      <w:r>
        <w:rPr>
          <w:rFonts w:hint="eastAsia" w:ascii="宋体" w:hAnsi="宋体" w:eastAsia="宋体" w:cs="宋体"/>
          <w:color w:val="auto"/>
          <w:sz w:val="21"/>
          <w:szCs w:val="21"/>
          <w:highlight w:val="none"/>
        </w:rPr>
        <w:t xml:space="preserve">商务要求响应及偏离表</w:t>
      </w:r>
      <w:bookmarkEnd w:id="112"/>
      <w:r/>
      <w:r/>
    </w:p>
    <w:tbl>
      <w:tblPr>
        <w:tblStyle w:val="79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bookmarkStart w:id="113" w:name="_Hlt26580838"/>
            <w:r/>
            <w:bookmarkEnd w:id="113"/>
            <w:r/>
            <w:bookmarkStart w:id="114" w:name="_Hlt26671343"/>
            <w:r/>
            <w:bookmarkEnd w:id="114"/>
            <w:r/>
            <w:bookmarkStart w:id="115" w:name="_Hlt26609391"/>
            <w:r/>
            <w:bookmarkEnd w:id="115"/>
            <w:r/>
            <w:bookmarkStart w:id="116" w:name="_Hlt26782999"/>
            <w:r/>
            <w:bookmarkEnd w:id="116"/>
            <w:r/>
            <w:bookmarkStart w:id="117" w:name="_Hlt26671372"/>
            <w:r/>
            <w:bookmarkEnd w:id="117"/>
            <w:r/>
            <w:bookmarkStart w:id="118" w:name="_Hlt26955056"/>
            <w:r/>
            <w:bookmarkEnd w:id="118"/>
            <w:r/>
            <w:bookmarkStart w:id="119" w:name="_Hlt26955064"/>
            <w:r/>
            <w:bookmarkEnd w:id="119"/>
            <w:r/>
            <w:bookmarkStart w:id="120" w:name="_Hlt24879081"/>
            <w:r/>
            <w:bookmarkEnd w:id="120"/>
            <w:r>
              <w:rPr>
                <w:rFonts w:hint="eastAsia" w:ascii="宋体" w:hAnsi="宋体" w:cs="宋体"/>
                <w:color w:val="auto"/>
                <w:szCs w:val="21"/>
                <w:highlight w:val="none"/>
              </w:rPr>
              <w:t xml:space="preserve">序号</w:t>
            </w:r>
            <w:r/>
          </w:p>
        </w:tc>
        <w:tc>
          <w:tcPr>
            <w:tcW w:w="2411"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W w:w="2411"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2046"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91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90"/>
        </w:trPr>
        <w:tc>
          <w:tcPr>
            <w:tcW w:w="2199"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w:t>
            </w:r>
            <w:r/>
          </w:p>
        </w:tc>
        <w:tc>
          <w:tcPr>
            <w:tcW w:w="2411" w:type="dxa"/>
            <w:textDirection w:val="lrTb"/>
            <w:noWrap w:val="false"/>
          </w:tcPr>
          <w:p>
            <w:pPr>
              <w:jc w:val="center"/>
              <w:spacing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w:t>
            </w:r>
            <w:r/>
          </w:p>
        </w:tc>
        <w:tc>
          <w:tcPr>
            <w:tcW w:w="2046"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911" w:type="dxa"/>
            <w:vAlign w:val="center"/>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01"/>
        <w:rPr>
          <w:rFonts w:hint="eastAsia" w:ascii="宋体" w:hAnsi="宋体" w:eastAsia="宋体" w:cs="宋体"/>
          <w:color w:val="auto"/>
          <w:sz w:val="21"/>
          <w:szCs w:val="21"/>
          <w:highlight w:val="none"/>
        </w:rPr>
      </w:pPr>
      <w:r/>
      <w:bookmarkStart w:id="121" w:name="_Hlt26609389"/>
      <w:r/>
      <w:bookmarkEnd w:id="121"/>
      <w:r/>
      <w:bookmarkStart w:id="122" w:name="_Hlt26955066"/>
      <w:r/>
      <w:bookmarkEnd w:id="122"/>
      <w:r/>
      <w:bookmarkStart w:id="123" w:name="_Hlt26671374"/>
      <w:r/>
      <w:bookmarkEnd w:id="123"/>
      <w:r/>
      <w:bookmarkStart w:id="124" w:name="_Toc27674"/>
      <w:r/>
      <w:bookmarkStart w:id="125" w:name="_Toc462564146"/>
      <w:r>
        <w:rPr>
          <w:rFonts w:hint="eastAsia" w:ascii="宋体" w:hAnsi="宋体" w:eastAsia="宋体" w:cs="宋体"/>
          <w:color w:val="auto"/>
          <w:sz w:val="21"/>
          <w:szCs w:val="21"/>
          <w:highlight w:val="none"/>
        </w:rPr>
        <w:t xml:space="preserve">八、人员一览表</w:t>
      </w:r>
      <w:bookmarkEnd w:id="124"/>
      <w:r/>
      <w:r/>
    </w:p>
    <w:tbl>
      <w:tblPr>
        <w:tblStyle w:val="79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44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445"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479"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434"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816"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94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45"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79"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34"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16"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1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94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521" w:type="pct"/>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numPr>
          <w:ilvl w:val="0"/>
          <w:numId w:val="3"/>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07"/>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07"/>
        <w:ind w:firstLine="480"/>
        <w:rPr>
          <w:rFonts w:hint="eastAsia" w:ascii="宋体" w:hAnsi="宋体" w:cs="宋体"/>
          <w:color w:val="auto"/>
          <w:szCs w:val="21"/>
          <w:highlight w:val="none"/>
        </w:rPr>
      </w:pPr>
      <w:r>
        <w:rPr>
          <w:rFonts w:hint="eastAsia" w:ascii="宋体" w:hAnsi="宋体" w:cs="宋体"/>
          <w:color w:val="auto"/>
          <w:szCs w:val="21"/>
          <w:highlight w:val="none"/>
        </w:rPr>
      </w:r>
      <w:bookmarkEnd w:id="125"/>
      <w:r/>
      <w:r/>
    </w:p>
    <w:p>
      <w:pPr>
        <w:jc w:val="center"/>
        <w:widowControl/>
        <w:rPr>
          <w:rFonts w:hint="eastAsia" w:ascii="宋体" w:hAnsi="宋体" w:cs="宋体"/>
          <w:b/>
          <w:color w:val="auto"/>
          <w:szCs w:val="21"/>
          <w:highlight w:val="none"/>
        </w:rPr>
      </w:pPr>
      <w:r/>
      <w:bookmarkStart w:id="126" w:name="_格式2__法定代表人授权书"/>
      <w:r/>
      <w:bookmarkEnd w:id="126"/>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799"/>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服务范围：</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服务要求：</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服务时间：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服务标准：</w:t>
            </w:r>
            <w:r/>
          </w:p>
        </w:tc>
      </w:tr>
    </w:tbl>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00"/>
        <w:rPr>
          <w:rFonts w:hint="eastAsia"/>
          <w:color w:val="auto"/>
          <w:highlight w:val="none"/>
          <w:lang w:val="en-US" w:eastAsia="zh-CN"/>
        </w:rPr>
      </w:pPr>
      <w:r>
        <w:rPr>
          <w:rFonts w:hint="eastAsia"/>
          <w:color w:val="auto"/>
          <w:highlight w:val="none"/>
          <w:lang w:val="en-US" w:eastAsia="zh-CN"/>
        </w:rPr>
      </w:r>
      <w:r/>
    </w:p>
    <w:tbl>
      <w:tblPr>
        <w:tblStyle w:val="1074"/>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211"/>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联合体协议（如有）</w:t>
      </w:r>
      <w:r/>
    </w:p>
    <w:p>
      <w:pPr>
        <w:ind w:firstLine="211"/>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自愿组成联合体，参加江苏苏维工程管理有限公司组织的采购编号为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4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rPr>
        <w:rFonts w:hint="eastAsia" w:ascii="宋体" w:hAnsi="宋体" w:cs="宋体"/>
      </w:rPr>
    </w:pPr>
    <w:r>
      <w:rPr>
        <w:rFonts w:hint="eastAsia" w:ascii="宋体" w:hAnsi="宋体" w:cs="宋体"/>
      </w:rPr>
      <w:t xml:space="preserve">JSZC-320000-SWGC-G2026-0073号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rPr>
        <w:rFonts w:hint="eastAsia" w:ascii="宋体" w:hAnsi="宋体" w:cs="宋体"/>
      </w:rPr>
    </w:pPr>
    <w:r>
      <w:rPr>
        <w:rFonts w:hint="eastAsia" w:ascii="宋体" w:hAnsi="宋体" w:cs="宋体"/>
      </w:rPr>
      <w:t xml:space="preserve">JSZC-320000-SWGC-G2026-0073号                                                 江苏苏维工程管理有限公司</w:t>
    </w:r>
    <w:r/>
  </w:p>
  <w:p>
    <w:pPr>
      <w:pStyle w:val="8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rPr>
      <w:t xml:space="preserve">JSZC-320000-SWGC-G2026-0073号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8">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7">
    <w:name w:val="TOC Heading"/>
    <w:uiPriority w:val="39"/>
    <w:unhideWhenUsed/>
  </w:style>
  <w:style w:type="paragraph" w:styleId="788" w:default="1">
    <w:name w:val="Normal"/>
    <w:next w:val="800"/>
    <w:uiPriority w:val="0"/>
    <w:qFormat/>
    <w:pPr>
      <w:jc w:val="both"/>
      <w:widowControl w:val="off"/>
    </w:pPr>
    <w:rPr>
      <w:rFonts w:ascii="Calibri" w:hAnsi="Calibri" w:eastAsia="宋体" w:cs="Times New Roman"/>
      <w:sz w:val="21"/>
      <w:szCs w:val="22"/>
      <w:lang w:val="en-US" w:eastAsia="zh-CN" w:bidi="ar-SA"/>
    </w:rPr>
  </w:style>
  <w:style w:type="paragraph" w:styleId="789">
    <w:name w:val="Heading 1"/>
    <w:basedOn w:val="788"/>
    <w:next w:val="788"/>
    <w:link w:val="871"/>
    <w:uiPriority w:val="9"/>
    <w:qFormat/>
    <w:pPr>
      <w:jc w:val="center"/>
      <w:keepLines/>
      <w:keepNext/>
      <w:spacing w:line="360" w:lineRule="auto"/>
      <w:outlineLvl w:val="0"/>
    </w:pPr>
    <w:rPr>
      <w:rFonts w:ascii="Arial" w:hAnsi="Arial" w:cs="Arial"/>
      <w:b/>
      <w:sz w:val="30"/>
      <w:szCs w:val="40"/>
    </w:rPr>
  </w:style>
  <w:style w:type="paragraph" w:styleId="790">
    <w:name w:val="Heading 2"/>
    <w:basedOn w:val="788"/>
    <w:next w:val="788"/>
    <w:link w:val="872"/>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802"/>
    <w:link w:val="873"/>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74"/>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75"/>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76"/>
    <w:uiPriority w:val="9"/>
    <w:unhideWhenUsed/>
    <w:qFormat/>
    <w:pPr>
      <w:keepLines/>
      <w:keepNext/>
      <w:spacing w:before="320" w:after="200"/>
      <w:outlineLvl w:val="5"/>
    </w:pPr>
    <w:rPr>
      <w:rFonts w:ascii="Arial" w:hAnsi="Arial" w:eastAsia="Arial" w:cs="Arial"/>
      <w:b/>
      <w:bCs/>
      <w:sz w:val="22"/>
    </w:rPr>
  </w:style>
  <w:style w:type="paragraph" w:styleId="795">
    <w:name w:val="Heading 7"/>
    <w:basedOn w:val="788"/>
    <w:next w:val="788"/>
    <w:link w:val="877"/>
    <w:uiPriority w:val="9"/>
    <w:unhideWhenUsed/>
    <w:qFormat/>
    <w:pPr>
      <w:keepLines/>
      <w:keepNext/>
      <w:spacing w:before="320" w:after="200"/>
      <w:outlineLvl w:val="6"/>
    </w:pPr>
    <w:rPr>
      <w:rFonts w:ascii="Arial" w:hAnsi="Arial" w:eastAsia="Arial" w:cs="Arial"/>
      <w:b/>
      <w:bCs/>
      <w:i/>
      <w:iCs/>
      <w:sz w:val="22"/>
    </w:rPr>
  </w:style>
  <w:style w:type="paragraph" w:styleId="796">
    <w:name w:val="Heading 8"/>
    <w:basedOn w:val="788"/>
    <w:next w:val="788"/>
    <w:link w:val="878"/>
    <w:uiPriority w:val="9"/>
    <w:unhideWhenUsed/>
    <w:qFormat/>
    <w:pPr>
      <w:keepLines/>
      <w:keepNext/>
      <w:spacing w:before="320" w:after="200"/>
      <w:outlineLvl w:val="7"/>
    </w:pPr>
    <w:rPr>
      <w:rFonts w:ascii="Arial" w:hAnsi="Arial" w:eastAsia="Arial" w:cs="Arial"/>
      <w:i/>
      <w:iCs/>
      <w:sz w:val="22"/>
    </w:rPr>
  </w:style>
  <w:style w:type="paragraph" w:styleId="797">
    <w:name w:val="Heading 9"/>
    <w:basedOn w:val="788"/>
    <w:next w:val="788"/>
    <w:link w:val="879"/>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First Indent"/>
    <w:basedOn w:val="801"/>
    <w:uiPriority w:val="0"/>
    <w:unhideWhenUsed/>
    <w:qFormat/>
    <w:pPr>
      <w:ind w:firstLine="420"/>
    </w:pPr>
    <w:rPr>
      <w:szCs w:val="21"/>
    </w:rPr>
  </w:style>
  <w:style w:type="paragraph" w:styleId="801">
    <w:name w:val="Body Text"/>
    <w:basedOn w:val="788"/>
    <w:uiPriority w:val="0"/>
    <w:qFormat/>
    <w:pPr>
      <w:spacing w:after="120"/>
    </w:pPr>
    <w:rPr>
      <w:rFonts w:ascii="Times New Roman" w:hAnsi="Times New Roman"/>
    </w:rPr>
  </w:style>
  <w:style w:type="paragraph" w:styleId="802">
    <w:name w:val="Normal Indent"/>
    <w:basedOn w:val="788"/>
    <w:uiPriority w:val="99"/>
    <w:qFormat/>
    <w:pPr>
      <w:ind w:firstLine="420"/>
    </w:pPr>
  </w:style>
  <w:style w:type="paragraph" w:styleId="803">
    <w:name w:val="toc 7"/>
    <w:basedOn w:val="788"/>
    <w:next w:val="788"/>
    <w:uiPriority w:val="39"/>
    <w:unhideWhenUsed/>
    <w:qFormat/>
    <w:pPr>
      <w:ind w:left="1701"/>
      <w:spacing w:after="57"/>
    </w:pPr>
  </w:style>
  <w:style w:type="paragraph" w:styleId="804">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88"/>
    <w:link w:val="1072"/>
    <w:uiPriority w:val="99"/>
    <w:semiHidden/>
    <w:unhideWhenUsed/>
    <w:qFormat/>
    <w:pPr>
      <w:jc w:val="left"/>
    </w:pPr>
  </w:style>
  <w:style w:type="paragraph" w:styleId="806">
    <w:name w:val="Body Text Indent"/>
    <w:basedOn w:val="788"/>
    <w:next w:val="788"/>
    <w:uiPriority w:val="0"/>
    <w:qFormat/>
    <w:pPr>
      <w:ind w:left="420"/>
      <w:spacing w:after="120"/>
    </w:pPr>
    <w:rPr>
      <w:rFonts w:ascii="等线" w:hAnsi="等线" w:eastAsia="等线"/>
    </w:rPr>
  </w:style>
  <w:style w:type="paragraph" w:styleId="807">
    <w:name w:val="toc 5"/>
    <w:basedOn w:val="788"/>
    <w:next w:val="788"/>
    <w:uiPriority w:val="39"/>
    <w:unhideWhenUsed/>
    <w:qFormat/>
    <w:pPr>
      <w:ind w:left="1134"/>
      <w:spacing w:after="57"/>
    </w:pPr>
  </w:style>
  <w:style w:type="paragraph" w:styleId="808">
    <w:name w:val="toc 3"/>
    <w:basedOn w:val="788"/>
    <w:next w:val="788"/>
    <w:uiPriority w:val="39"/>
    <w:unhideWhenUsed/>
    <w:qFormat/>
    <w:pPr>
      <w:ind w:left="567"/>
      <w:spacing w:after="57"/>
    </w:pPr>
  </w:style>
  <w:style w:type="paragraph" w:styleId="809">
    <w:name w:val="Plain Text"/>
    <w:basedOn w:val="788"/>
    <w:uiPriority w:val="0"/>
    <w:qFormat/>
    <w:rPr>
      <w:rFonts w:ascii="宋体" w:hAnsi="Courier New"/>
      <w:sz w:val="20"/>
      <w:szCs w:val="21"/>
    </w:rPr>
  </w:style>
  <w:style w:type="paragraph" w:styleId="810">
    <w:name w:val="toc 8"/>
    <w:basedOn w:val="788"/>
    <w:next w:val="788"/>
    <w:uiPriority w:val="39"/>
    <w:unhideWhenUsed/>
    <w:qFormat/>
    <w:pPr>
      <w:ind w:left="1984"/>
      <w:spacing w:after="57"/>
    </w:pPr>
  </w:style>
  <w:style w:type="paragraph" w:styleId="811">
    <w:name w:val="endnote text"/>
    <w:basedOn w:val="788"/>
    <w:link w:val="998"/>
    <w:uiPriority w:val="99"/>
    <w:semiHidden/>
    <w:unhideWhenUsed/>
    <w:qFormat/>
    <w:rPr>
      <w:sz w:val="20"/>
    </w:rPr>
  </w:style>
  <w:style w:type="paragraph" w:styleId="812">
    <w:name w:val="Footer"/>
    <w:basedOn w:val="788"/>
    <w:link w:val="890"/>
    <w:uiPriority w:val="99"/>
    <w:unhideWhenUsed/>
    <w:qFormat/>
    <w:pPr>
      <w:tabs>
        <w:tab w:val="center" w:pos="7143" w:leader="none"/>
        <w:tab w:val="right" w:pos="14287" w:leader="none"/>
      </w:tabs>
    </w:pPr>
  </w:style>
  <w:style w:type="paragraph" w:styleId="813">
    <w:name w:val="Header"/>
    <w:basedOn w:val="788"/>
    <w:link w:val="888"/>
    <w:uiPriority w:val="99"/>
    <w:unhideWhenUsed/>
    <w:qFormat/>
    <w:pPr>
      <w:tabs>
        <w:tab w:val="center" w:pos="7143" w:leader="none"/>
        <w:tab w:val="right" w:pos="14287" w:leader="none"/>
      </w:tabs>
    </w:pPr>
  </w:style>
  <w:style w:type="paragraph" w:styleId="814">
    <w:name w:val="toc 1"/>
    <w:basedOn w:val="788"/>
    <w:next w:val="788"/>
    <w:uiPriority w:val="39"/>
    <w:unhideWhenUsed/>
    <w:qFormat/>
    <w:pPr>
      <w:spacing w:after="57"/>
    </w:pPr>
  </w:style>
  <w:style w:type="paragraph" w:styleId="815">
    <w:name w:val="toc 4"/>
    <w:basedOn w:val="788"/>
    <w:next w:val="788"/>
    <w:uiPriority w:val="39"/>
    <w:unhideWhenUsed/>
    <w:qFormat/>
    <w:pPr>
      <w:ind w:left="850"/>
      <w:spacing w:after="57"/>
    </w:pPr>
  </w:style>
  <w:style w:type="paragraph" w:styleId="816">
    <w:name w:val="Subtitle"/>
    <w:basedOn w:val="788"/>
    <w:next w:val="788"/>
    <w:link w:val="883"/>
    <w:uiPriority w:val="11"/>
    <w:qFormat/>
    <w:pPr>
      <w:spacing w:before="200" w:after="200"/>
    </w:pPr>
    <w:rPr>
      <w:sz w:val="24"/>
      <w:szCs w:val="24"/>
    </w:rPr>
  </w:style>
  <w:style w:type="paragraph" w:styleId="817">
    <w:name w:val="footnote text"/>
    <w:basedOn w:val="788"/>
    <w:link w:val="997"/>
    <w:uiPriority w:val="99"/>
    <w:semiHidden/>
    <w:unhideWhenUsed/>
    <w:qFormat/>
    <w:pPr>
      <w:spacing w:after="40"/>
    </w:pPr>
    <w:rPr>
      <w:sz w:val="18"/>
    </w:rPr>
  </w:style>
  <w:style w:type="paragraph" w:styleId="818">
    <w:name w:val="toc 6"/>
    <w:basedOn w:val="788"/>
    <w:next w:val="788"/>
    <w:uiPriority w:val="39"/>
    <w:unhideWhenUsed/>
    <w:qFormat/>
    <w:pPr>
      <w:ind w:left="1417"/>
      <w:spacing w:after="57"/>
    </w:pPr>
  </w:style>
  <w:style w:type="paragraph" w:styleId="819">
    <w:name w:val="table of figures"/>
    <w:basedOn w:val="788"/>
    <w:next w:val="788"/>
    <w:uiPriority w:val="99"/>
    <w:unhideWhenUsed/>
    <w:qFormat/>
  </w:style>
  <w:style w:type="paragraph" w:styleId="820">
    <w:name w:val="toc 2"/>
    <w:basedOn w:val="788"/>
    <w:next w:val="788"/>
    <w:uiPriority w:val="39"/>
    <w:unhideWhenUsed/>
    <w:qFormat/>
    <w:pPr>
      <w:ind w:left="283"/>
      <w:spacing w:after="57"/>
    </w:pPr>
  </w:style>
  <w:style w:type="paragraph" w:styleId="821">
    <w:name w:val="toc 9"/>
    <w:basedOn w:val="788"/>
    <w:next w:val="788"/>
    <w:uiPriority w:val="39"/>
    <w:unhideWhenUsed/>
    <w:qFormat/>
    <w:pPr>
      <w:ind w:left="2268"/>
      <w:spacing w:after="57"/>
    </w:pPr>
  </w:style>
  <w:style w:type="paragraph" w:styleId="822">
    <w:name w:val="Body Text 2"/>
    <w:basedOn w:val="788"/>
    <w:uiPriority w:val="0"/>
    <w:qFormat/>
    <w:pPr>
      <w:spacing w:after="120" w:line="480" w:lineRule="auto"/>
    </w:pPr>
  </w:style>
  <w:style w:type="paragraph" w:styleId="823">
    <w:name w:val="Normal (Web)"/>
    <w:basedOn w:val="788"/>
    <w:uiPriority w:val="99"/>
    <w:semiHidden/>
    <w:unhideWhenUsed/>
    <w:qFormat/>
    <w:pPr>
      <w:jc w:val="left"/>
      <w:spacing w:beforeAutospacing="1" w:afterAutospacing="1"/>
    </w:pPr>
    <w:rPr>
      <w:sz w:val="24"/>
    </w:rPr>
  </w:style>
  <w:style w:type="paragraph" w:styleId="824">
    <w:name w:val="Title"/>
    <w:basedOn w:val="788"/>
    <w:next w:val="788"/>
    <w:link w:val="882"/>
    <w:uiPriority w:val="10"/>
    <w:qFormat/>
    <w:pPr>
      <w:contextualSpacing/>
      <w:spacing w:before="300" w:after="200"/>
    </w:pPr>
    <w:rPr>
      <w:sz w:val="48"/>
      <w:szCs w:val="48"/>
    </w:rPr>
  </w:style>
  <w:style w:type="paragraph" w:styleId="825">
    <w:name w:val="annotation subject"/>
    <w:basedOn w:val="805"/>
    <w:next w:val="805"/>
    <w:link w:val="1073"/>
    <w:uiPriority w:val="99"/>
    <w:semiHidden/>
    <w:unhideWhenUsed/>
    <w:qFormat/>
    <w:rPr>
      <w:b/>
      <w:bCs/>
    </w:rPr>
  </w:style>
  <w:style w:type="table" w:styleId="8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Strong"/>
    <w:basedOn w:val="798"/>
    <w:uiPriority w:val="22"/>
    <w:qFormat/>
    <w:rPr>
      <w:b/>
    </w:rPr>
  </w:style>
  <w:style w:type="character" w:styleId="828">
    <w:name w:val="endnote reference"/>
    <w:uiPriority w:val="99"/>
    <w:semiHidden/>
    <w:unhideWhenUsed/>
    <w:qFormat/>
    <w:rPr>
      <w:vertAlign w:val="superscript"/>
    </w:rPr>
  </w:style>
  <w:style w:type="character" w:styleId="829">
    <w:name w:val="Emphasis"/>
    <w:uiPriority w:val="0"/>
    <w:qFormat/>
    <w:rPr>
      <w:i/>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annotation reference"/>
    <w:basedOn w:val="798"/>
    <w:uiPriority w:val="0"/>
    <w:qFormat/>
    <w:rPr>
      <w:sz w:val="21"/>
      <w:szCs w:val="21"/>
    </w:rPr>
  </w:style>
  <w:style w:type="character" w:styleId="832">
    <w:name w:val="footnote reference"/>
    <w:uiPriority w:val="99"/>
    <w:unhideWhenUsed/>
    <w:qFormat/>
    <w:rPr>
      <w:vertAlign w:val="superscript"/>
    </w:rPr>
  </w:style>
  <w:style w:type="character" w:styleId="833" w:customStyle="1">
    <w:name w:val="Heading 1 Char"/>
    <w:basedOn w:val="798"/>
    <w:uiPriority w:val="9"/>
    <w:qFormat/>
    <w:rPr>
      <w:rFonts w:ascii="Arial" w:hAnsi="Arial" w:eastAsia="Arial" w:cs="Arial"/>
      <w:sz w:val="40"/>
      <w:szCs w:val="40"/>
    </w:rPr>
  </w:style>
  <w:style w:type="character" w:styleId="834" w:customStyle="1">
    <w:name w:val="Heading 2 Char"/>
    <w:basedOn w:val="798"/>
    <w:uiPriority w:val="9"/>
    <w:qFormat/>
    <w:rPr>
      <w:rFonts w:ascii="Arial" w:hAnsi="Arial" w:eastAsia="Arial" w:cs="Arial"/>
      <w:sz w:val="34"/>
    </w:rPr>
  </w:style>
  <w:style w:type="character" w:styleId="835" w:customStyle="1">
    <w:name w:val="Heading 3 Char"/>
    <w:basedOn w:val="798"/>
    <w:uiPriority w:val="9"/>
    <w:qFormat/>
    <w:rPr>
      <w:rFonts w:ascii="Arial" w:hAnsi="Arial" w:eastAsia="Arial" w:cs="Arial"/>
      <w:sz w:val="30"/>
      <w:szCs w:val="30"/>
    </w:rPr>
  </w:style>
  <w:style w:type="character" w:styleId="836" w:customStyle="1">
    <w:name w:val="Heading 4 Char"/>
    <w:basedOn w:val="798"/>
    <w:uiPriority w:val="9"/>
    <w:qFormat/>
    <w:rPr>
      <w:rFonts w:ascii="Arial" w:hAnsi="Arial" w:eastAsia="Arial" w:cs="Arial"/>
      <w:b/>
      <w:bCs/>
      <w:sz w:val="26"/>
      <w:szCs w:val="26"/>
    </w:rPr>
  </w:style>
  <w:style w:type="character" w:styleId="837" w:customStyle="1">
    <w:name w:val="Heading 5 Char"/>
    <w:basedOn w:val="798"/>
    <w:uiPriority w:val="9"/>
    <w:qFormat/>
    <w:rPr>
      <w:rFonts w:ascii="Arial" w:hAnsi="Arial" w:eastAsia="Arial" w:cs="Arial"/>
      <w:b/>
      <w:bCs/>
      <w:sz w:val="24"/>
      <w:szCs w:val="24"/>
    </w:rPr>
  </w:style>
  <w:style w:type="character" w:styleId="838" w:customStyle="1">
    <w:name w:val="Heading 6 Char"/>
    <w:basedOn w:val="798"/>
    <w:uiPriority w:val="9"/>
    <w:qFormat/>
    <w:rPr>
      <w:rFonts w:ascii="Arial" w:hAnsi="Arial" w:eastAsia="Arial" w:cs="Arial"/>
      <w:b/>
      <w:bCs/>
      <w:sz w:val="22"/>
      <w:szCs w:val="22"/>
    </w:rPr>
  </w:style>
  <w:style w:type="character" w:styleId="839" w:customStyle="1">
    <w:name w:val="Heading 7 Char"/>
    <w:basedOn w:val="798"/>
    <w:uiPriority w:val="9"/>
    <w:qFormat/>
    <w:rPr>
      <w:rFonts w:ascii="Arial" w:hAnsi="Arial" w:eastAsia="Arial" w:cs="Arial"/>
      <w:b/>
      <w:bCs/>
      <w:i/>
      <w:iCs/>
      <w:sz w:val="22"/>
      <w:szCs w:val="22"/>
    </w:rPr>
  </w:style>
  <w:style w:type="character" w:styleId="840" w:customStyle="1">
    <w:name w:val="Heading 8 Char"/>
    <w:basedOn w:val="798"/>
    <w:uiPriority w:val="9"/>
    <w:qFormat/>
    <w:rPr>
      <w:rFonts w:ascii="Arial" w:hAnsi="Arial" w:eastAsia="Arial" w:cs="Arial"/>
      <w:i/>
      <w:iCs/>
      <w:sz w:val="22"/>
      <w:szCs w:val="22"/>
    </w:rPr>
  </w:style>
  <w:style w:type="character" w:styleId="841" w:customStyle="1">
    <w:name w:val="Heading 9 Char"/>
    <w:basedOn w:val="798"/>
    <w:uiPriority w:val="9"/>
    <w:qFormat/>
    <w:rPr>
      <w:rFonts w:ascii="Arial" w:hAnsi="Arial" w:eastAsia="Arial" w:cs="Arial"/>
      <w:i/>
      <w:iCs/>
      <w:sz w:val="21"/>
      <w:szCs w:val="21"/>
    </w:rPr>
  </w:style>
  <w:style w:type="character" w:styleId="842" w:customStyle="1">
    <w:name w:val="Title Char"/>
    <w:basedOn w:val="798"/>
    <w:uiPriority w:val="10"/>
    <w:qFormat/>
    <w:rPr>
      <w:sz w:val="48"/>
      <w:szCs w:val="48"/>
    </w:rPr>
  </w:style>
  <w:style w:type="character" w:styleId="843" w:customStyle="1">
    <w:name w:val="Subtitle Char"/>
    <w:basedOn w:val="798"/>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98"/>
    <w:uiPriority w:val="99"/>
    <w:qFormat/>
  </w:style>
  <w:style w:type="character" w:styleId="847" w:customStyle="1">
    <w:name w:val="Caption Char"/>
    <w:uiPriority w:val="99"/>
    <w:qFormat/>
  </w:style>
  <w:style w:type="table" w:styleId="848"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79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79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Default"/>
    <w:uiPriority w:val="0"/>
    <w:qFormat/>
    <w:pPr>
      <w:widowControl w:val="off"/>
    </w:pPr>
    <w:rPr>
      <w:rFonts w:ascii="黑体" w:hAnsi="Times New Roman" w:eastAsia="黑体" w:cs="Times New Roman"/>
      <w:lang w:val="en-US" w:eastAsia="zh-CN" w:bidi="ar-SA"/>
    </w:rPr>
  </w:style>
  <w:style w:type="character" w:styleId="871" w:customStyle="1">
    <w:name w:val="标题 1 字符"/>
    <w:link w:val="789"/>
    <w:uiPriority w:val="9"/>
    <w:qFormat/>
    <w:rPr>
      <w:rFonts w:ascii="Arial" w:hAnsi="Arial" w:eastAsia="宋体" w:cs="Arial"/>
      <w:b/>
      <w:sz w:val="30"/>
      <w:szCs w:val="40"/>
    </w:rPr>
  </w:style>
  <w:style w:type="character" w:styleId="872" w:customStyle="1">
    <w:name w:val="标题 2 字符"/>
    <w:link w:val="790"/>
    <w:uiPriority w:val="9"/>
    <w:qFormat/>
    <w:rPr>
      <w:rFonts w:ascii="Arial" w:hAnsi="Arial" w:eastAsia="Arial" w:cs="Arial"/>
      <w:sz w:val="34"/>
    </w:rPr>
  </w:style>
  <w:style w:type="character" w:styleId="873" w:customStyle="1">
    <w:name w:val="标题 3 字符"/>
    <w:link w:val="791"/>
    <w:uiPriority w:val="9"/>
    <w:qFormat/>
    <w:rPr>
      <w:rFonts w:ascii="Arial" w:hAnsi="Arial" w:eastAsia="Arial" w:cs="Arial"/>
      <w:sz w:val="30"/>
      <w:szCs w:val="30"/>
    </w:rPr>
  </w:style>
  <w:style w:type="character" w:styleId="874" w:customStyle="1">
    <w:name w:val="标题 4 字符"/>
    <w:link w:val="792"/>
    <w:uiPriority w:val="9"/>
    <w:qFormat/>
    <w:rPr>
      <w:rFonts w:ascii="Arial" w:hAnsi="Arial" w:eastAsia="Arial" w:cs="Arial"/>
      <w:b/>
      <w:bCs/>
      <w:sz w:val="26"/>
      <w:szCs w:val="26"/>
    </w:rPr>
  </w:style>
  <w:style w:type="character" w:styleId="875" w:customStyle="1">
    <w:name w:val="标题 5 字符"/>
    <w:link w:val="793"/>
    <w:uiPriority w:val="9"/>
    <w:qFormat/>
    <w:rPr>
      <w:rFonts w:ascii="Arial" w:hAnsi="Arial" w:eastAsia="Arial" w:cs="Arial"/>
      <w:b/>
      <w:bCs/>
      <w:sz w:val="24"/>
      <w:szCs w:val="24"/>
    </w:rPr>
  </w:style>
  <w:style w:type="character" w:styleId="876" w:customStyle="1">
    <w:name w:val="标题 6 字符"/>
    <w:link w:val="794"/>
    <w:uiPriority w:val="9"/>
    <w:qFormat/>
    <w:rPr>
      <w:rFonts w:ascii="Arial" w:hAnsi="Arial" w:eastAsia="Arial" w:cs="Arial"/>
      <w:b/>
      <w:bCs/>
      <w:sz w:val="22"/>
      <w:szCs w:val="22"/>
    </w:rPr>
  </w:style>
  <w:style w:type="character" w:styleId="877" w:customStyle="1">
    <w:name w:val="标题 7 字符"/>
    <w:link w:val="795"/>
    <w:uiPriority w:val="9"/>
    <w:qFormat/>
    <w:rPr>
      <w:rFonts w:ascii="Arial" w:hAnsi="Arial" w:eastAsia="Arial" w:cs="Arial"/>
      <w:b/>
      <w:bCs/>
      <w:i/>
      <w:iCs/>
      <w:sz w:val="22"/>
      <w:szCs w:val="22"/>
    </w:rPr>
  </w:style>
  <w:style w:type="character" w:styleId="878" w:customStyle="1">
    <w:name w:val="标题 8 字符"/>
    <w:link w:val="796"/>
    <w:uiPriority w:val="9"/>
    <w:qFormat/>
    <w:rPr>
      <w:rFonts w:ascii="Arial" w:hAnsi="Arial" w:eastAsia="Arial" w:cs="Arial"/>
      <w:i/>
      <w:iCs/>
      <w:sz w:val="22"/>
      <w:szCs w:val="22"/>
    </w:rPr>
  </w:style>
  <w:style w:type="character" w:styleId="879" w:customStyle="1">
    <w:name w:val="标题 9 字符"/>
    <w:link w:val="797"/>
    <w:uiPriority w:val="9"/>
    <w:qFormat/>
    <w:rPr>
      <w:rFonts w:ascii="Arial" w:hAnsi="Arial" w:eastAsia="Arial" w:cs="Arial"/>
      <w:i/>
      <w:iCs/>
      <w:sz w:val="21"/>
      <w:szCs w:val="21"/>
    </w:rPr>
  </w:style>
  <w:style w:type="paragraph" w:styleId="880">
    <w:name w:val="List Paragraph"/>
    <w:basedOn w:val="788"/>
    <w:uiPriority w:val="34"/>
    <w:qFormat/>
    <w:pPr>
      <w:contextualSpacing/>
      <w:ind w:left="720"/>
    </w:pPr>
  </w:style>
  <w:style w:type="paragraph" w:styleId="881">
    <w:name w:val="No Spacing"/>
    <w:uiPriority w:val="1"/>
    <w:qFormat/>
    <w:rPr>
      <w:rFonts w:ascii="Times New Roman" w:hAnsi="Times New Roman" w:eastAsia="宋体" w:cs="Times New Roman"/>
      <w:lang w:val="en-US" w:eastAsia="zh-CN" w:bidi="ar-SA"/>
    </w:rPr>
  </w:style>
  <w:style w:type="character" w:styleId="882" w:customStyle="1">
    <w:name w:val="标题 字符"/>
    <w:link w:val="824"/>
    <w:uiPriority w:val="10"/>
    <w:qFormat/>
    <w:rPr>
      <w:sz w:val="48"/>
      <w:szCs w:val="48"/>
    </w:rPr>
  </w:style>
  <w:style w:type="character" w:styleId="883" w:customStyle="1">
    <w:name w:val="副标题 字符"/>
    <w:link w:val="816"/>
    <w:uiPriority w:val="11"/>
    <w:qFormat/>
    <w:rPr>
      <w:sz w:val="24"/>
      <w:szCs w:val="24"/>
    </w:rPr>
  </w:style>
  <w:style w:type="paragraph" w:styleId="884">
    <w:name w:val="Quote"/>
    <w:basedOn w:val="788"/>
    <w:next w:val="788"/>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88"/>
    <w:next w:val="788"/>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页眉 字符"/>
    <w:link w:val="813"/>
    <w:uiPriority w:val="99"/>
    <w:qFormat/>
  </w:style>
  <w:style w:type="character" w:styleId="889" w:customStyle="1">
    <w:name w:val="Footer Char"/>
    <w:uiPriority w:val="99"/>
    <w:qFormat/>
  </w:style>
  <w:style w:type="character" w:styleId="890" w:customStyle="1">
    <w:name w:val="页脚 字符"/>
    <w:link w:val="812"/>
    <w:uiPriority w:val="99"/>
    <w:qFormat/>
  </w:style>
  <w:style w:type="table" w:styleId="8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字符"/>
    <w:link w:val="817"/>
    <w:uiPriority w:val="99"/>
    <w:qFormat/>
    <w:rPr>
      <w:sz w:val="18"/>
    </w:rPr>
  </w:style>
  <w:style w:type="character" w:styleId="998" w:customStyle="1">
    <w:name w:val="尾注文本 字符"/>
    <w:link w:val="811"/>
    <w:uiPriority w:val="99"/>
    <w:qFormat/>
    <w:rPr>
      <w:sz w:val="20"/>
    </w:rPr>
  </w:style>
  <w:style w:type="paragraph" w:styleId="999" w:customStyle="1">
    <w:name w:val="TOC 标题11"/>
    <w:uiPriority w:val="39"/>
    <w:unhideWhenUsed/>
    <w:qFormat/>
    <w:rPr>
      <w:rFonts w:ascii="Times New Roman" w:hAnsi="Times New Roman" w:eastAsia="宋体" w:cs="Times New Roman"/>
      <w:lang w:val="en-US" w:eastAsia="zh-CN" w:bidi="ar-SA"/>
    </w:rPr>
  </w:style>
  <w:style w:type="paragraph" w:styleId="1000" w:customStyle="1">
    <w:name w:val="标题 11"/>
    <w:basedOn w:val="788"/>
    <w:next w:val="788"/>
    <w:uiPriority w:val="9"/>
    <w:qFormat/>
    <w:pPr>
      <w:keepLines/>
      <w:keepNext/>
      <w:spacing w:before="340" w:after="330" w:line="578" w:lineRule="auto"/>
      <w:outlineLvl w:val="0"/>
    </w:pPr>
    <w:rPr>
      <w:b/>
      <w:bCs/>
      <w:sz w:val="44"/>
      <w:szCs w:val="44"/>
    </w:rPr>
  </w:style>
  <w:style w:type="paragraph" w:styleId="1001" w:customStyle="1">
    <w:name w:val="标题 21"/>
    <w:basedOn w:val="788"/>
    <w:next w:val="7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标题 31"/>
    <w:basedOn w:val="788"/>
    <w:next w:val="788"/>
    <w:uiPriority w:val="0"/>
    <w:qFormat/>
    <w:pPr>
      <w:keepLines/>
      <w:keepNext/>
      <w:spacing w:before="260" w:after="260" w:line="416" w:lineRule="auto"/>
      <w:outlineLvl w:val="2"/>
    </w:pPr>
    <w:rPr>
      <w:b/>
      <w:bCs/>
      <w:sz w:val="32"/>
      <w:szCs w:val="32"/>
    </w:rPr>
  </w:style>
  <w:style w:type="character" w:styleId="1003" w:customStyle="1">
    <w:name w:val="默认段落字体1"/>
    <w:uiPriority w:val="1"/>
    <w:unhideWhenUsed/>
    <w:qFormat/>
  </w:style>
  <w:style w:type="table" w:styleId="1004" w:customStyle="1">
    <w:name w:val="普通表格1"/>
    <w:uiPriority w:val="99"/>
    <w:unhideWhenUsed/>
    <w:qFormat/>
    <w:tblPr>
      <w:tblCellMar>
        <w:left w:w="0" w:type="dxa"/>
        <w:top w:w="0" w:type="dxa"/>
        <w:right w:w="0" w:type="dxa"/>
        <w:bottom w:w="0" w:type="dxa"/>
      </w:tblCellMar>
    </w:tblPr>
  </w:style>
  <w:style w:type="paragraph" w:styleId="1005" w:customStyle="1">
    <w:name w:val="正文文本缩进1"/>
    <w:basedOn w:val="788"/>
    <w:next w:val="1006"/>
    <w:uiPriority w:val="0"/>
    <w:qFormat/>
    <w:pPr>
      <w:ind w:left="420"/>
      <w:spacing w:after="120"/>
    </w:pPr>
    <w:rPr>
      <w:rFonts w:ascii="等线" w:hAnsi="等线" w:eastAsia="等线"/>
    </w:rPr>
  </w:style>
  <w:style w:type="paragraph" w:styleId="1006" w:customStyle="1">
    <w:name w:val="寄信人地址1"/>
    <w:basedOn w:val="788"/>
    <w:uiPriority w:val="99"/>
    <w:unhideWhenUsed/>
    <w:qFormat/>
    <w:rPr>
      <w:rFonts w:ascii="Arial" w:hAnsi="Arial"/>
    </w:rPr>
  </w:style>
  <w:style w:type="paragraph" w:styleId="1007" w:customStyle="1">
    <w:name w:val="正文缩进1"/>
    <w:basedOn w:val="788"/>
    <w:uiPriority w:val="0"/>
    <w:unhideWhenUsed/>
    <w:qFormat/>
    <w:pPr>
      <w:ind w:firstLine="420"/>
    </w:pPr>
  </w:style>
  <w:style w:type="paragraph" w:styleId="1008" w:customStyle="1">
    <w:name w:val="批注文字1"/>
    <w:basedOn w:val="788"/>
    <w:link w:val="1009"/>
    <w:uiPriority w:val="0"/>
    <w:qFormat/>
    <w:pPr>
      <w:jc w:val="left"/>
    </w:pPr>
  </w:style>
  <w:style w:type="character" w:styleId="1009" w:customStyle="1">
    <w:name w:val="批注文字 Char"/>
    <w:link w:val="1008"/>
    <w:uiPriority w:val="0"/>
    <w:qFormat/>
    <w:rPr>
      <w:rFonts w:ascii="Calibri" w:hAnsi="Calibri"/>
      <w:sz w:val="21"/>
      <w:szCs w:val="22"/>
    </w:rPr>
  </w:style>
  <w:style w:type="paragraph" w:styleId="1010" w:customStyle="1">
    <w:name w:val="正文文本11"/>
    <w:basedOn w:val="788"/>
    <w:next w:val="1011"/>
    <w:uiPriority w:val="0"/>
    <w:qFormat/>
    <w:rPr>
      <w:rFonts w:ascii="楷体_GB2312" w:hAnsi="Arial" w:eastAsia="楷体_GB2312"/>
      <w:sz w:val="28"/>
      <w:szCs w:val="28"/>
    </w:rPr>
  </w:style>
  <w:style w:type="paragraph" w:styleId="1011" w:customStyle="1">
    <w:name w:val="标题1"/>
    <w:basedOn w:val="788"/>
    <w:next w:val="788"/>
    <w:uiPriority w:val="0"/>
    <w:qFormat/>
    <w:pPr>
      <w:jc w:val="center"/>
      <w:spacing w:before="240" w:after="60" w:line="360" w:lineRule="auto"/>
      <w:outlineLvl w:val="0"/>
    </w:pPr>
    <w:rPr>
      <w:rFonts w:ascii="宋体" w:hAnsi="宋体"/>
      <w:b/>
      <w:bCs/>
      <w:sz w:val="32"/>
      <w:szCs w:val="32"/>
    </w:rPr>
  </w:style>
  <w:style w:type="paragraph" w:styleId="1012" w:customStyle="1">
    <w:name w:val="纯文本1"/>
    <w:basedOn w:val="788"/>
    <w:uiPriority w:val="99"/>
    <w:qFormat/>
    <w:rPr>
      <w:rFonts w:ascii="宋体" w:hAnsi="Courier New"/>
      <w:sz w:val="20"/>
      <w:szCs w:val="21"/>
    </w:rPr>
  </w:style>
  <w:style w:type="paragraph" w:styleId="1013" w:customStyle="1">
    <w:name w:val="正文文本缩进 21"/>
    <w:basedOn w:val="788"/>
    <w:uiPriority w:val="0"/>
    <w:qFormat/>
    <w:pPr>
      <w:ind w:left="640"/>
      <w:spacing w:after="120" w:line="480" w:lineRule="auto"/>
    </w:pPr>
    <w:rPr>
      <w:rFonts w:eastAsia="仿宋_GB2312"/>
      <w:sz w:val="32"/>
      <w:szCs w:val="28"/>
    </w:rPr>
  </w:style>
  <w:style w:type="paragraph" w:styleId="1014" w:customStyle="1">
    <w:name w:val="批注框文本1"/>
    <w:basedOn w:val="788"/>
    <w:link w:val="1015"/>
    <w:uiPriority w:val="0"/>
    <w:qFormat/>
    <w:rPr>
      <w:sz w:val="18"/>
      <w:szCs w:val="18"/>
    </w:rPr>
  </w:style>
  <w:style w:type="character" w:styleId="1015" w:customStyle="1">
    <w:name w:val="批注框文本 Char"/>
    <w:link w:val="1014"/>
    <w:uiPriority w:val="0"/>
    <w:qFormat/>
    <w:rPr>
      <w:sz w:val="18"/>
      <w:szCs w:val="18"/>
    </w:rPr>
  </w:style>
  <w:style w:type="paragraph" w:styleId="1016" w:customStyle="1">
    <w:name w:val="页脚1"/>
    <w:basedOn w:val="788"/>
    <w:uiPriority w:val="99"/>
    <w:unhideWhenUsed/>
    <w:qFormat/>
    <w:pPr>
      <w:jc w:val="left"/>
      <w:tabs>
        <w:tab w:val="center" w:pos="4153" w:leader="none"/>
        <w:tab w:val="right" w:pos="8306" w:leader="none"/>
      </w:tabs>
    </w:pPr>
    <w:rPr>
      <w:sz w:val="18"/>
      <w:szCs w:val="18"/>
    </w:rPr>
  </w:style>
  <w:style w:type="paragraph" w:styleId="1017" w:customStyle="1">
    <w:name w:val="页眉1"/>
    <w:basedOn w:val="7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8" w:customStyle="1">
    <w:name w:val="目录 11"/>
    <w:basedOn w:val="788"/>
    <w:next w:val="788"/>
    <w:uiPriority w:val="39"/>
    <w:unhideWhenUsed/>
    <w:qFormat/>
  </w:style>
  <w:style w:type="paragraph" w:styleId="1019" w:customStyle="1">
    <w:name w:val="目录 21"/>
    <w:basedOn w:val="788"/>
    <w:next w:val="788"/>
    <w:uiPriority w:val="0"/>
    <w:qFormat/>
    <w:pPr>
      <w:ind w:left="420"/>
    </w:pPr>
  </w:style>
  <w:style w:type="paragraph" w:styleId="1020" w:customStyle="1">
    <w:name w:val="正文文本 21"/>
    <w:basedOn w:val="788"/>
    <w:uiPriority w:val="0"/>
    <w:qFormat/>
    <w:pPr>
      <w:spacing w:after="120" w:line="480" w:lineRule="auto"/>
    </w:pPr>
  </w:style>
  <w:style w:type="paragraph" w:styleId="1021" w:customStyle="1">
    <w:name w:val="信息标题1"/>
    <w:basedOn w:val="78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22" w:customStyle="1">
    <w:name w:val="普通(网站)1"/>
    <w:basedOn w:val="788"/>
    <w:uiPriority w:val="0"/>
    <w:qFormat/>
    <w:rPr>
      <w:rFonts w:ascii="Times New Roman" w:hAnsi="Times New Roman"/>
      <w:sz w:val="24"/>
    </w:rPr>
  </w:style>
  <w:style w:type="paragraph" w:styleId="1023" w:customStyle="1">
    <w:name w:val="批注主题1"/>
    <w:basedOn w:val="1008"/>
    <w:next w:val="1008"/>
    <w:link w:val="1024"/>
    <w:uiPriority w:val="0"/>
    <w:qFormat/>
    <w:rPr>
      <w:b/>
      <w:bCs/>
    </w:rPr>
  </w:style>
  <w:style w:type="character" w:styleId="1024" w:customStyle="1">
    <w:name w:val="批注主题 Char"/>
    <w:link w:val="1023"/>
    <w:uiPriority w:val="0"/>
    <w:qFormat/>
    <w:rPr>
      <w:rFonts w:ascii="Calibri" w:hAnsi="Calibri"/>
      <w:b/>
      <w:bCs/>
      <w:sz w:val="21"/>
      <w:szCs w:val="22"/>
    </w:rPr>
  </w:style>
  <w:style w:type="paragraph" w:styleId="1025" w:customStyle="1">
    <w:name w:val="正文首行缩进 21"/>
    <w:basedOn w:val="1005"/>
    <w:next w:val="788"/>
    <w:uiPriority w:val="0"/>
    <w:qFormat/>
    <w:pPr>
      <w:ind w:firstLine="420"/>
      <w:spacing w:before="100" w:beforeAutospacing="1"/>
    </w:pPr>
    <w:rPr>
      <w:rFonts w:ascii="Times New Roman" w:hAnsi="Times New Roman" w:eastAsia="宋体"/>
      <w:sz w:val="20"/>
      <w:szCs w:val="21"/>
    </w:rPr>
  </w:style>
  <w:style w:type="table" w:styleId="1026" w:customStyle="1">
    <w:name w:val="网格型1"/>
    <w:basedOn w:val="1004"/>
    <w:uiPriority w:val="0"/>
    <w:qFormat/>
    <w:pPr>
      <w:jc w:val="both"/>
      <w:widowControl w:val="off"/>
    </w:pPr>
    <w:tblPr/>
  </w:style>
  <w:style w:type="character" w:styleId="1027" w:customStyle="1">
    <w:name w:val="要点1"/>
    <w:uiPriority w:val="0"/>
    <w:qFormat/>
    <w:rPr>
      <w:b/>
    </w:rPr>
  </w:style>
  <w:style w:type="character" w:styleId="1028" w:customStyle="1">
    <w:name w:val="强调1"/>
    <w:uiPriority w:val="0"/>
    <w:qFormat/>
    <w:rPr>
      <w:i/>
    </w:rPr>
  </w:style>
  <w:style w:type="character" w:styleId="1029" w:customStyle="1">
    <w:name w:val="超链接1"/>
    <w:uiPriority w:val="0"/>
    <w:qFormat/>
    <w:rPr>
      <w:color w:val="0000ff"/>
      <w:u w:val="single"/>
    </w:rPr>
  </w:style>
  <w:style w:type="character" w:styleId="1030" w:customStyle="1">
    <w:name w:val="批注引用1"/>
    <w:uiPriority w:val="0"/>
    <w:qFormat/>
    <w:rPr>
      <w:sz w:val="21"/>
      <w:szCs w:val="21"/>
    </w:rPr>
  </w:style>
  <w:style w:type="paragraph" w:styleId="1031" w:customStyle="1">
    <w:name w:val="正文（缩进）"/>
    <w:basedOn w:val="788"/>
    <w:uiPriority w:val="0"/>
    <w:qFormat/>
    <w:pPr>
      <w:ind w:firstLine="480"/>
      <w:spacing w:before="156" w:after="156"/>
    </w:pPr>
  </w:style>
  <w:style w:type="paragraph" w:styleId="1032" w:customStyle="1">
    <w:name w:val="正文1"/>
    <w:basedOn w:val="788"/>
    <w:next w:val="1033"/>
    <w:uiPriority w:val="0"/>
    <w:qFormat/>
    <w:pPr>
      <w:jc w:val="left"/>
      <w:spacing w:line="360" w:lineRule="atLeast"/>
    </w:pPr>
    <w:rPr>
      <w:rFonts w:ascii="宋体" w:cs="Arial"/>
      <w:sz w:val="24"/>
      <w:szCs w:val="20"/>
    </w:rPr>
  </w:style>
  <w:style w:type="paragraph" w:styleId="1033" w:customStyle="1">
    <w:name w:val="正文文本1"/>
    <w:basedOn w:val="1032"/>
    <w:uiPriority w:val="0"/>
    <w:qFormat/>
    <w:pPr>
      <w:spacing w:after="120"/>
    </w:pPr>
    <w:rPr>
      <w:lang w:eastAsia="en-US"/>
    </w:r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next w:val="7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6" w:customStyle="1">
    <w:name w:val="段"/>
    <w:basedOn w:val="1032"/>
    <w:next w:val="788"/>
    <w:uiPriority w:val="0"/>
    <w:qFormat/>
    <w:pPr>
      <w:ind w:firstLine="200"/>
      <w:widowControl/>
    </w:pPr>
    <w:rPr>
      <w:sz w:val="20"/>
    </w:rPr>
  </w:style>
  <w:style w:type="paragraph" w:styleId="1037"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1038" w:customStyle="1">
    <w:name w:val="Char"/>
    <w:basedOn w:val="788"/>
    <w:uiPriority w:val="0"/>
    <w:qFormat/>
    <w:pPr>
      <w:ind w:firstLine="200"/>
      <w:tabs>
        <w:tab w:val="left" w:pos="360" w:leader="none"/>
      </w:tabs>
    </w:pPr>
    <w:rPr>
      <w:rFonts w:ascii="Times New Roman" w:hAnsi="Times New Roman"/>
      <w:sz w:val="28"/>
      <w:szCs w:val="30"/>
    </w:rPr>
  </w:style>
  <w:style w:type="paragraph" w:styleId="1039" w:customStyle="1">
    <w:name w:val="Table Paragraph"/>
    <w:basedOn w:val="788"/>
    <w:uiPriority w:val="1"/>
    <w:qFormat/>
    <w:rPr>
      <w:rFonts w:ascii="Noto Sans CJK JP Regular" w:hAnsi="Noto Sans CJK JP Regular" w:eastAsia="Noto Sans CJK JP Regular" w:cs="Noto Sans CJK JP Regular"/>
    </w:rPr>
  </w:style>
  <w:style w:type="paragraph" w:styleId="1040" w:customStyle="1">
    <w:name w:val="正文（1）"/>
    <w:basedOn w:val="788"/>
    <w:uiPriority w:val="0"/>
    <w:qFormat/>
    <w:pPr>
      <w:numPr>
        <w:ilvl w:val="0"/>
        <w:numId w:val="1"/>
      </w:numPr>
      <w:ind w:firstLine="200"/>
    </w:pPr>
    <w:rPr>
      <w:szCs w:val="24"/>
    </w:rPr>
  </w:style>
  <w:style w:type="paragraph" w:styleId="1041" w:customStyle="1">
    <w:name w:val="朱-正文"/>
    <w:basedOn w:val="788"/>
    <w:uiPriority w:val="0"/>
    <w:qFormat/>
    <w:pPr>
      <w:ind w:firstLine="200"/>
    </w:pPr>
    <w:rPr>
      <w:rFonts w:ascii="Times New Roman"/>
      <w:color w:val="000000"/>
      <w:szCs w:val="24"/>
      <w:lang w:val="en-GB"/>
    </w:rPr>
  </w:style>
  <w:style w:type="paragraph" w:styleId="1042" w:customStyle="1">
    <w:name w:val="GP正文(首行缩进)"/>
    <w:basedOn w:val="788"/>
    <w:uiPriority w:val="0"/>
    <w:qFormat/>
    <w:pPr>
      <w:ind w:firstLine="480"/>
      <w:jc w:val="left"/>
    </w:pPr>
    <w:rPr>
      <w:rFonts w:ascii="Times New Roman" w:hAnsi="宋体"/>
      <w:sz w:val="24"/>
      <w:szCs w:val="24"/>
    </w:rPr>
  </w:style>
  <w:style w:type="character" w:styleId="1043" w:customStyle="1">
    <w:name w:val="font71"/>
    <w:uiPriority w:val="0"/>
    <w:qFormat/>
    <w:rPr>
      <w:rFonts w:hint="eastAsia" w:ascii="宋体" w:hAnsi="宋体" w:eastAsia="宋体" w:cs="宋体"/>
      <w:color w:val="ff0000"/>
      <w:sz w:val="21"/>
      <w:szCs w:val="21"/>
      <w:u w:val="none"/>
    </w:rPr>
  </w:style>
  <w:style w:type="character" w:styleId="1044" w:customStyle="1">
    <w:name w:val="font41"/>
    <w:uiPriority w:val="0"/>
    <w:qFormat/>
    <w:rPr>
      <w:rFonts w:hint="eastAsia" w:ascii="宋体" w:hAnsi="宋体" w:eastAsia="宋体" w:cs="宋体"/>
      <w:color w:val="000000"/>
      <w:sz w:val="21"/>
      <w:szCs w:val="21"/>
      <w:u w:val="none"/>
    </w:rPr>
  </w:style>
  <w:style w:type="paragraph" w:styleId="1045" w:customStyle="1">
    <w:name w:val="列出段落"/>
    <w:basedOn w:val="788"/>
    <w:uiPriority w:val="0"/>
    <w:qFormat/>
    <w:pPr>
      <w:ind w:firstLine="420"/>
    </w:pPr>
  </w:style>
  <w:style w:type="paragraph" w:styleId="1046" w:customStyle="1">
    <w:name w:val="列出段落2"/>
    <w:basedOn w:val="788"/>
    <w:uiPriority w:val="34"/>
    <w:qFormat/>
    <w:pPr>
      <w:ind w:firstLine="420"/>
    </w:pPr>
    <w:rPr>
      <w:rFonts w:ascii="宋体"/>
      <w:color w:val="404040"/>
    </w:rPr>
  </w:style>
  <w:style w:type="paragraph" w:styleId="1047" w:customStyle="1">
    <w:name w:val="列表段落1"/>
    <w:basedOn w:val="788"/>
    <w:uiPriority w:val="0"/>
    <w:qFormat/>
    <w:pPr>
      <w:ind w:firstLine="200"/>
    </w:pPr>
    <w:rPr>
      <w:rFonts w:cs="宋体"/>
    </w:rPr>
  </w:style>
  <w:style w:type="character" w:styleId="1048" w:customStyle="1">
    <w:name w:val="font51"/>
    <w:uiPriority w:val="0"/>
    <w:qFormat/>
    <w:rPr>
      <w:rFonts w:hint="eastAsia" w:ascii="宋体" w:hAnsi="宋体" w:eastAsia="宋体" w:cs="宋体"/>
      <w:color w:val="000000"/>
      <w:sz w:val="24"/>
      <w:szCs w:val="24"/>
      <w:u w:val="none"/>
      <w:vertAlign w:val="subscript"/>
    </w:rPr>
  </w:style>
  <w:style w:type="character" w:styleId="1049" w:customStyle="1">
    <w:name w:val="font61"/>
    <w:uiPriority w:val="0"/>
    <w:qFormat/>
    <w:rPr>
      <w:rFonts w:hint="eastAsia" w:ascii="宋体" w:hAnsi="宋体" w:eastAsia="宋体" w:cs="宋体"/>
      <w:color w:val="000000"/>
      <w:sz w:val="24"/>
      <w:szCs w:val="24"/>
      <w:u w:val="none"/>
    </w:rPr>
  </w:style>
  <w:style w:type="character" w:styleId="1050" w:customStyle="1">
    <w:name w:val="font01"/>
    <w:uiPriority w:val="0"/>
    <w:qFormat/>
    <w:rPr>
      <w:rFonts w:hint="eastAsia" w:ascii="宋体" w:hAnsi="宋体" w:eastAsia="宋体" w:cs="宋体"/>
      <w:color w:val="000000"/>
      <w:sz w:val="24"/>
      <w:szCs w:val="24"/>
      <w:u w:val="none"/>
    </w:rPr>
  </w:style>
  <w:style w:type="character" w:styleId="1051" w:customStyle="1">
    <w:name w:val="font81"/>
    <w:uiPriority w:val="0"/>
    <w:qFormat/>
    <w:rPr>
      <w:rFonts w:ascii="微软雅黑" w:hAnsi="微软雅黑" w:eastAsia="微软雅黑" w:cs="微软雅黑"/>
      <w:color w:val="000000"/>
      <w:sz w:val="24"/>
      <w:szCs w:val="24"/>
      <w:u w:val="none"/>
    </w:rPr>
  </w:style>
  <w:style w:type="character" w:styleId="1052" w:customStyle="1">
    <w:name w:val="font91"/>
    <w:uiPriority w:val="0"/>
    <w:qFormat/>
    <w:rPr>
      <w:rFonts w:ascii="Segoe UI Symbol" w:hAnsi="Segoe UI Symbol" w:eastAsia="Segoe UI Symbol" w:cs="Segoe UI Symbol"/>
      <w:color w:val="000000"/>
      <w:sz w:val="24"/>
      <w:szCs w:val="24"/>
      <w:u w:val="none"/>
    </w:rPr>
  </w:style>
  <w:style w:type="character" w:styleId="1053" w:customStyle="1">
    <w:name w:val="font101"/>
    <w:uiPriority w:val="0"/>
    <w:qFormat/>
    <w:rPr>
      <w:rFonts w:ascii="Calibri" w:hAnsi="Calibri" w:cs="Calibri"/>
      <w:color w:val="000000"/>
      <w:sz w:val="24"/>
      <w:szCs w:val="24"/>
      <w:u w:val="none"/>
    </w:rPr>
  </w:style>
  <w:style w:type="paragraph" w:styleId="1054" w:customStyle="1">
    <w:name w:val="TableItem"/>
    <w:uiPriority w:val="0"/>
    <w:qFormat/>
    <w:rPr>
      <w:rFonts w:ascii="Verdana" w:hAnsi="Verdana" w:eastAsia="宋体" w:cs="Verdana"/>
      <w:b/>
      <w:bCs/>
      <w:color w:val="538135"/>
      <w:spacing w:val="-10"/>
      <w:sz w:val="16"/>
      <w:szCs w:val="28"/>
      <w:lang w:val="en-US" w:eastAsia="zh-CN" w:bidi="ar-SA"/>
    </w:rPr>
  </w:style>
  <w:style w:type="paragraph" w:styleId="1055" w:customStyle="1">
    <w:name w:val="TableEmphasis"/>
    <w:basedOn w:val="788"/>
    <w:uiPriority w:val="0"/>
    <w:qFormat/>
    <w:rPr>
      <w:rFonts w:ascii="Times New Roman" w:hAnsi="Times New Roman" w:eastAsia="Times New Roman"/>
      <w:b/>
      <w:bCs/>
      <w:color w:val="3333ff"/>
      <w:sz w:val="16"/>
      <w:szCs w:val="18"/>
    </w:rPr>
  </w:style>
  <w:style w:type="paragraph" w:styleId="1056" w:customStyle="1">
    <w:name w:val="修订1"/>
    <w:uiPriority w:val="99"/>
    <w:unhideWhenUsed/>
    <w:qFormat/>
    <w:rPr>
      <w:rFonts w:ascii="Calibri" w:hAnsi="Calibri" w:eastAsia="宋体" w:cs="Times New Roman"/>
      <w:sz w:val="21"/>
      <w:szCs w:val="22"/>
      <w:lang w:val="en-US" w:eastAsia="zh-CN" w:bidi="ar-SA"/>
    </w:rPr>
  </w:style>
  <w:style w:type="paragraph" w:styleId="1057" w:customStyle="1">
    <w:name w:val="修订2"/>
    <w:uiPriority w:val="99"/>
    <w:semiHidden/>
    <w:qFormat/>
    <w:rPr>
      <w:rFonts w:ascii="Calibri" w:hAnsi="Calibri" w:eastAsia="宋体" w:cs="Times New Roman"/>
      <w:sz w:val="21"/>
      <w:szCs w:val="22"/>
      <w:lang w:val="en-US" w:eastAsia="zh-CN" w:bidi="ar-SA"/>
    </w:rPr>
  </w:style>
  <w:style w:type="character" w:styleId="1058" w:customStyle="1">
    <w:name w:val="font11"/>
    <w:uiPriority w:val="0"/>
    <w:qFormat/>
    <w:rPr>
      <w:rFonts w:hint="eastAsia" w:ascii="宋体" w:hAnsi="宋体" w:eastAsia="宋体" w:cs="宋体"/>
      <w:color w:val="000000"/>
      <w:sz w:val="24"/>
      <w:szCs w:val="24"/>
      <w:u w:val="none"/>
    </w:rPr>
  </w:style>
  <w:style w:type="character" w:styleId="1059" w:customStyle="1">
    <w:name w:val="font21"/>
    <w:uiPriority w:val="0"/>
    <w:qFormat/>
    <w:rPr>
      <w:rFonts w:ascii="Segoe UI Symbol" w:hAnsi="Segoe UI Symbol" w:eastAsia="Segoe UI Symbol" w:cs="Segoe UI Symbol"/>
      <w:color w:val="000000"/>
      <w:sz w:val="24"/>
      <w:szCs w:val="24"/>
      <w:u w:val="none"/>
    </w:rPr>
  </w:style>
  <w:style w:type="character" w:styleId="1060" w:customStyle="1">
    <w:name w:val="NormalCharacter1"/>
    <w:uiPriority w:val="0"/>
    <w:semiHidden/>
    <w:qFormat/>
    <w:rPr>
      <w:rFonts w:ascii="Calibri" w:hAnsi="Calibri" w:eastAsia="宋体" w:cs="Times New Roman"/>
      <w:sz w:val="21"/>
      <w:szCs w:val="22"/>
      <w:lang w:val="en-US" w:eastAsia="zh-CN" w:bidi="ar-SA"/>
    </w:rPr>
  </w:style>
  <w:style w:type="character" w:styleId="1061" w:customStyle="1">
    <w:name w:val="font31"/>
    <w:uiPriority w:val="0"/>
    <w:qFormat/>
    <w:rPr>
      <w:rFonts w:hint="eastAsia" w:ascii="宋体" w:hAnsi="宋体" w:eastAsia="宋体" w:cs="宋体"/>
      <w:color w:val="000000"/>
      <w:sz w:val="21"/>
      <w:szCs w:val="21"/>
      <w:u w:val="none"/>
    </w:rPr>
  </w:style>
  <w:style w:type="paragraph" w:styleId="1062" w:customStyle="1">
    <w:name w:val="无间隔1"/>
    <w:uiPriority w:val="1"/>
    <w:qFormat/>
    <w:rPr>
      <w:rFonts w:ascii="Times New Roman" w:hAnsi="Times New Roman" w:eastAsia="宋体" w:cs="Times New Roman"/>
      <w:lang w:val="en-US" w:eastAsia="zh-CN" w:bidi="ar-SA"/>
    </w:rPr>
  </w:style>
  <w:style w:type="paragraph" w:styleId="1063" w:customStyle="1">
    <w:name w:val="索引 41"/>
    <w:basedOn w:val="788"/>
    <w:next w:val="788"/>
    <w:uiPriority w:val="99"/>
    <w:unhideWhenUsed/>
    <w:qFormat/>
    <w:pPr>
      <w:ind w:left="600"/>
    </w:pPr>
    <w:rPr>
      <w:rFonts w:ascii="Verdana" w:hAnsi="Verdana" w:eastAsia="微软雅黑"/>
      <w:szCs w:val="20"/>
    </w:rPr>
  </w:style>
  <w:style w:type="paragraph" w:styleId="1064" w:customStyle="1">
    <w:name w:val="首行缩进"/>
    <w:basedOn w:val="788"/>
    <w:uiPriority w:val="0"/>
    <w:qFormat/>
    <w:pPr>
      <w:ind w:firstLine="420"/>
      <w:spacing w:line="360" w:lineRule="auto"/>
    </w:pPr>
  </w:style>
  <w:style w:type="paragraph" w:styleId="1065" w:customStyle="1">
    <w:name w:val="表格文字"/>
    <w:basedOn w:val="788"/>
    <w:uiPriority w:val="0"/>
    <w:qFormat/>
    <w:rPr>
      <w:rFonts w:cs="宋体"/>
      <w:spacing w:val="2"/>
      <w:szCs w:val="21"/>
      <w:lang w:eastAsia="en-US"/>
    </w:rPr>
  </w:style>
  <w:style w:type="paragraph" w:styleId="1066" w:customStyle="1">
    <w:name w:val="列出段落1"/>
    <w:basedOn w:val="788"/>
    <w:uiPriority w:val="0"/>
    <w:qFormat/>
    <w:pPr>
      <w:ind w:firstLine="420"/>
      <w:jc w:val="left"/>
      <w:widowControl/>
    </w:pPr>
    <w:rPr>
      <w:rFonts w:ascii="Times New Roman" w:hAnsi="Times New Roman"/>
    </w:rPr>
  </w:style>
  <w:style w:type="paragraph" w:styleId="1067" w:customStyle="1">
    <w:name w:val="页眉11"/>
    <w:basedOn w:val="78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8" w:customStyle="1">
    <w:name w:val="页脚11"/>
    <w:basedOn w:val="788"/>
    <w:uiPriority w:val="99"/>
    <w:unhideWhenUsed/>
    <w:qFormat/>
    <w:pPr>
      <w:jc w:val="left"/>
      <w:tabs>
        <w:tab w:val="center" w:pos="4153" w:leader="none"/>
        <w:tab w:val="right" w:pos="8306" w:leader="none"/>
      </w:tabs>
    </w:pPr>
    <w:rPr>
      <w:sz w:val="18"/>
      <w:szCs w:val="18"/>
    </w:rPr>
  </w:style>
  <w:style w:type="paragraph" w:styleId="1069" w:customStyle="1">
    <w:name w:val="标题 311"/>
    <w:basedOn w:val="788"/>
    <w:next w:val="1070"/>
    <w:uiPriority w:val="0"/>
    <w:qFormat/>
    <w:pPr>
      <w:keepLines/>
      <w:keepNext/>
      <w:spacing w:before="260" w:after="260" w:line="416" w:lineRule="auto"/>
      <w:outlineLvl w:val="2"/>
    </w:pPr>
    <w:rPr>
      <w:b/>
      <w:bCs/>
      <w:sz w:val="32"/>
      <w:szCs w:val="32"/>
    </w:rPr>
  </w:style>
  <w:style w:type="paragraph" w:styleId="1070" w:customStyle="1">
    <w:name w:val="正文缩进11"/>
    <w:basedOn w:val="788"/>
    <w:uiPriority w:val="0"/>
    <w:unhideWhenUsed/>
    <w:qFormat/>
    <w:pPr>
      <w:ind w:firstLine="420"/>
    </w:pPr>
  </w:style>
  <w:style w:type="paragraph" w:styleId="1071"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1072" w:customStyle="1">
    <w:name w:val="批注文字 字符"/>
    <w:basedOn w:val="798"/>
    <w:link w:val="805"/>
    <w:uiPriority w:val="99"/>
    <w:semiHidden/>
    <w:qFormat/>
    <w:rPr>
      <w:rFonts w:ascii="Calibri" w:hAnsi="Calibri"/>
      <w:sz w:val="21"/>
      <w:szCs w:val="22"/>
    </w:rPr>
  </w:style>
  <w:style w:type="character" w:styleId="1073" w:customStyle="1">
    <w:name w:val="批注主题 字符"/>
    <w:basedOn w:val="1072"/>
    <w:link w:val="825"/>
    <w:uiPriority w:val="99"/>
    <w:semiHidden/>
    <w:qFormat/>
    <w:rPr>
      <w:rFonts w:ascii="Calibri" w:hAnsi="Calibri"/>
      <w:b/>
      <w:bCs/>
      <w:sz w:val="21"/>
      <w:szCs w:val="22"/>
    </w:rPr>
  </w:style>
  <w:style w:type="table" w:styleId="1074" w:customStyle="1">
    <w:name w:val="table"/>
    <w:basedOn w:val="799"/>
    <w:uiPriority w:val="0"/>
    <w:qFormat/>
    <w:rPr>
      <w:rFonts w:eastAsiaTheme="minorEastAsia"/>
    </w:rPr>
    <w:tbl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12</cp:revision>
  <dcterms:created xsi:type="dcterms:W3CDTF">2026-06-03T02:05:00Z</dcterms:created>
  <dcterms:modified xsi:type="dcterms:W3CDTF">2026-06-08T07:00:54Z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CD15860E951841CB9BA4C5A6CFBBA70D_13</vt:lpwstr>
  </property>
  <property fmtid="{D5CDD505-2E9C-101B-9397-08002B2CF9AE}" pid="4" name="KSOTemplateDocerSaveRecord">
    <vt:lpwstr>eyJoZGlkIjoiMmU0ZDNiZGQ3MGE0MGI4YjY5ZGRmN2U5ZDI5YWYzMTEiLCJ1c2VySWQiOiI0NjY3MzgyMDAifQ==</vt:lpwstr>
  </property>
</Properties>
</file>