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9BD5C1">
      <w:pPr>
        <w:ind w:firstLine="3855" w:firstLineChars="1200"/>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项目需求</w:t>
      </w:r>
    </w:p>
    <w:p w14:paraId="716423A7">
      <w:pPr>
        <w:keepNext w:val="0"/>
        <w:keepLines w:val="0"/>
        <w:pageBreakBefore w:val="0"/>
        <w:widowControl w:val="0"/>
        <w:kinsoku/>
        <w:wordWrap/>
        <w:overflowPunct/>
        <w:topLinePunct w:val="0"/>
        <w:bidi w:val="0"/>
        <w:adjustRightInd/>
        <w:snapToGrid/>
        <w:spacing w:line="360" w:lineRule="auto"/>
        <w:ind w:firstLine="482" w:firstLineChars="200"/>
        <w:textAlignment w:val="auto"/>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一、项目背景</w:t>
      </w:r>
    </w:p>
    <w:p w14:paraId="29B8B601">
      <w:pPr>
        <w:pStyle w:val="7"/>
        <w:keepNext w:val="0"/>
        <w:keepLines w:val="0"/>
        <w:pageBreakBefore w:val="0"/>
        <w:widowControl w:val="0"/>
        <w:kinsoku/>
        <w:wordWrap/>
        <w:overflowPunct/>
        <w:topLinePunct w:val="0"/>
        <w:bidi w:val="0"/>
        <w:adjustRightInd/>
        <w:snapToGrid/>
        <w:spacing w:line="360" w:lineRule="auto"/>
        <w:ind w:left="397" w:right="408" w:firstLine="420"/>
        <w:textAlignment w:val="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pacing w:val="-3"/>
          <w:sz w:val="24"/>
          <w:szCs w:val="24"/>
          <w14:textFill>
            <w14:solidFill>
              <w14:schemeClr w14:val="tx1"/>
            </w14:solidFill>
          </w14:textFill>
        </w:rPr>
        <w:t>扬州大学附属医院作为一所集医疗、教学、科研、急救、预防、康复为一体的综合性三级甲等医院，一直致力于提升医疗服务水平，改善患者就医体验。2018年医院建设智慧一期项目，采购部分</w:t>
      </w:r>
      <w:r>
        <w:rPr>
          <w:rFonts w:hint="eastAsia" w:ascii="宋体" w:hAnsi="宋体" w:eastAsia="宋体"/>
          <w:color w:val="000000" w:themeColor="text1"/>
          <w:sz w:val="24"/>
          <w:szCs w:val="24"/>
          <w14:textFill>
            <w14:solidFill>
              <w14:schemeClr w14:val="tx1"/>
            </w14:solidFill>
          </w14:textFill>
        </w:rPr>
        <w:t>自助机、多功能报告机、报到机、候诊屏、诊间屏等信息化服务设施，为保证这些设备正常运行及及网络正常通讯，现拟采购部分设备日常运维服务。</w:t>
      </w:r>
    </w:p>
    <w:p w14:paraId="2E2B136A">
      <w:pPr>
        <w:pStyle w:val="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397" w:leftChars="0" w:firstLine="0" w:firstLineChars="0"/>
        <w:jc w:val="left"/>
        <w:textAlignment w:val="auto"/>
        <w:rPr>
          <w:rFonts w:ascii="宋体" w:hAnsi="宋体" w:eastAsia="宋体" w:cs="Times New Roman"/>
          <w:b/>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bCs w:val="0"/>
          <w:color w:val="000000" w:themeColor="text1"/>
          <w:kern w:val="2"/>
          <w:sz w:val="24"/>
          <w:szCs w:val="24"/>
          <w:lang w:val="en-US" w:eastAsia="zh-CN" w:bidi="ar-SA"/>
          <w14:textFill>
            <w14:solidFill>
              <w14:schemeClr w14:val="tx1"/>
            </w14:solidFill>
          </w14:textFill>
        </w:rPr>
        <w:t>二、</w:t>
      </w:r>
      <w:r>
        <w:rPr>
          <w:rFonts w:ascii="宋体" w:hAnsi="宋体" w:eastAsia="宋体" w:cs="Times New Roman"/>
          <w:b/>
          <w:bCs w:val="0"/>
          <w:color w:val="000000" w:themeColor="text1"/>
          <w:kern w:val="2"/>
          <w:sz w:val="24"/>
          <w:szCs w:val="24"/>
          <w:lang w:val="en-US" w:eastAsia="zh-CN" w:bidi="ar-SA"/>
          <w14:textFill>
            <w14:solidFill>
              <w14:schemeClr w14:val="tx1"/>
            </w14:solidFill>
          </w14:textFill>
        </w:rPr>
        <w:t>项目</w:t>
      </w:r>
      <w:r>
        <w:rPr>
          <w:rFonts w:hint="eastAsia" w:ascii="宋体" w:hAnsi="宋体" w:eastAsia="宋体" w:cs="Times New Roman"/>
          <w:b/>
          <w:bCs w:val="0"/>
          <w:color w:val="000000" w:themeColor="text1"/>
          <w:kern w:val="2"/>
          <w:sz w:val="24"/>
          <w:szCs w:val="24"/>
          <w:lang w:val="en-US" w:eastAsia="zh-CN" w:bidi="ar-SA"/>
          <w14:textFill>
            <w14:solidFill>
              <w14:schemeClr w14:val="tx1"/>
            </w14:solidFill>
          </w14:textFill>
        </w:rPr>
        <w:t>说明</w:t>
      </w:r>
    </w:p>
    <w:p w14:paraId="4594952F">
      <w:pPr>
        <w:pStyle w:val="7"/>
        <w:keepNext w:val="0"/>
        <w:keepLines w:val="0"/>
        <w:pageBreakBefore w:val="0"/>
        <w:widowControl w:val="0"/>
        <w:kinsoku/>
        <w:wordWrap/>
        <w:overflowPunct/>
        <w:topLinePunct w:val="0"/>
        <w:bidi w:val="0"/>
        <w:adjustRightInd/>
        <w:snapToGrid/>
        <w:spacing w:line="360" w:lineRule="auto"/>
        <w:ind w:left="397" w:right="408" w:firstLine="420"/>
        <w:textAlignment w:val="auto"/>
        <w:rPr>
          <w:rFonts w:ascii="宋体" w:hAnsi="宋体" w:eastAsia="宋体"/>
          <w:color w:val="000000" w:themeColor="text1"/>
          <w:spacing w:val="-3"/>
          <w:sz w:val="24"/>
          <w:szCs w:val="24"/>
          <w14:textFill>
            <w14:solidFill>
              <w14:schemeClr w14:val="tx1"/>
            </w14:solidFill>
          </w14:textFill>
        </w:rPr>
      </w:pPr>
      <w:r>
        <w:rPr>
          <w:rFonts w:hint="eastAsia" w:ascii="宋体" w:hAnsi="宋体" w:eastAsia="宋体"/>
          <w:color w:val="000000" w:themeColor="text1"/>
          <w:spacing w:val="-3"/>
          <w:sz w:val="24"/>
          <w:szCs w:val="24"/>
          <w14:textFill>
            <w14:solidFill>
              <w14:schemeClr w14:val="tx1"/>
            </w14:solidFill>
          </w14:textFill>
        </w:rPr>
        <w:t>（1）项目名称：智慧医院一期硬件维保</w:t>
      </w:r>
    </w:p>
    <w:p w14:paraId="702C1772">
      <w:pPr>
        <w:pStyle w:val="7"/>
        <w:keepNext w:val="0"/>
        <w:keepLines w:val="0"/>
        <w:pageBreakBefore w:val="0"/>
        <w:widowControl w:val="0"/>
        <w:kinsoku/>
        <w:wordWrap/>
        <w:overflowPunct/>
        <w:topLinePunct w:val="0"/>
        <w:bidi w:val="0"/>
        <w:adjustRightInd/>
        <w:snapToGrid/>
        <w:spacing w:line="360" w:lineRule="auto"/>
        <w:ind w:left="397" w:right="408" w:firstLine="420"/>
        <w:textAlignment w:val="auto"/>
        <w:rPr>
          <w:rFonts w:ascii="宋体" w:hAnsi="宋体" w:eastAsia="宋体"/>
          <w:color w:val="000000" w:themeColor="text1"/>
          <w:spacing w:val="-3"/>
          <w:sz w:val="24"/>
          <w:szCs w:val="24"/>
          <w14:textFill>
            <w14:solidFill>
              <w14:schemeClr w14:val="tx1"/>
            </w14:solidFill>
          </w14:textFill>
        </w:rPr>
      </w:pPr>
      <w:r>
        <w:rPr>
          <w:rFonts w:hint="eastAsia" w:ascii="宋体" w:hAnsi="宋体" w:eastAsia="宋体"/>
          <w:color w:val="000000" w:themeColor="text1"/>
          <w:spacing w:val="-3"/>
          <w:sz w:val="24"/>
          <w:szCs w:val="24"/>
          <w14:textFill>
            <w14:solidFill>
              <w14:schemeClr w14:val="tx1"/>
            </w14:solidFill>
          </w14:textFill>
        </w:rPr>
        <w:t>（2）服务时间：一年</w:t>
      </w:r>
    </w:p>
    <w:p w14:paraId="668C556A">
      <w:pPr>
        <w:pStyle w:val="7"/>
        <w:keepNext w:val="0"/>
        <w:keepLines w:val="0"/>
        <w:pageBreakBefore w:val="0"/>
        <w:widowControl w:val="0"/>
        <w:kinsoku/>
        <w:wordWrap/>
        <w:overflowPunct/>
        <w:topLinePunct w:val="0"/>
        <w:bidi w:val="0"/>
        <w:adjustRightInd/>
        <w:snapToGrid/>
        <w:spacing w:line="360" w:lineRule="auto"/>
        <w:ind w:left="397" w:right="408" w:firstLine="420"/>
        <w:textAlignment w:val="auto"/>
        <w:rPr>
          <w:rFonts w:ascii="宋体" w:hAnsi="宋体" w:eastAsia="宋体"/>
          <w:color w:val="000000" w:themeColor="text1"/>
          <w:spacing w:val="-3"/>
          <w:sz w:val="24"/>
          <w:szCs w:val="24"/>
          <w14:textFill>
            <w14:solidFill>
              <w14:schemeClr w14:val="tx1"/>
            </w14:solidFill>
          </w14:textFill>
        </w:rPr>
      </w:pPr>
      <w:r>
        <w:rPr>
          <w:rFonts w:hint="eastAsia" w:ascii="宋体" w:hAnsi="宋体" w:eastAsia="宋体"/>
          <w:color w:val="000000" w:themeColor="text1"/>
          <w:spacing w:val="-3"/>
          <w:sz w:val="24"/>
          <w:szCs w:val="24"/>
          <w14:textFill>
            <w14:solidFill>
              <w14:schemeClr w14:val="tx1"/>
            </w14:solidFill>
          </w14:textFill>
        </w:rPr>
        <w:t>（3）</w:t>
      </w:r>
      <w:r>
        <w:rPr>
          <w:rFonts w:hint="eastAsia" w:ascii="宋体" w:hAnsi="宋体" w:eastAsia="宋体"/>
          <w:b/>
          <w:color w:val="000000" w:themeColor="text1"/>
          <w:spacing w:val="-3"/>
          <w:sz w:val="24"/>
          <w:szCs w:val="24"/>
          <w14:textFill>
            <w14:solidFill>
              <w14:schemeClr w14:val="tx1"/>
            </w14:solidFill>
          </w14:textFill>
        </w:rPr>
        <w:t>项目标的：25万</w:t>
      </w:r>
    </w:p>
    <w:p w14:paraId="30B5BE04">
      <w:pPr>
        <w:pStyle w:val="7"/>
        <w:keepNext w:val="0"/>
        <w:keepLines w:val="0"/>
        <w:pageBreakBefore w:val="0"/>
        <w:widowControl w:val="0"/>
        <w:kinsoku/>
        <w:wordWrap/>
        <w:overflowPunct/>
        <w:topLinePunct w:val="0"/>
        <w:bidi w:val="0"/>
        <w:adjustRightInd/>
        <w:snapToGrid/>
        <w:spacing w:line="360" w:lineRule="auto"/>
        <w:ind w:left="397" w:right="408" w:firstLine="420"/>
        <w:textAlignment w:val="auto"/>
        <w:rPr>
          <w:rFonts w:ascii="宋体" w:hAnsi="宋体" w:eastAsia="宋体"/>
          <w:color w:val="000000" w:themeColor="text1"/>
          <w:spacing w:val="-3"/>
          <w:sz w:val="24"/>
          <w:szCs w:val="24"/>
          <w14:textFill>
            <w14:solidFill>
              <w14:schemeClr w14:val="tx1"/>
            </w14:solidFill>
          </w14:textFill>
        </w:rPr>
      </w:pPr>
      <w:r>
        <w:rPr>
          <w:rFonts w:hint="eastAsia" w:ascii="宋体" w:hAnsi="宋体" w:eastAsia="宋体"/>
          <w:color w:val="000000" w:themeColor="text1"/>
          <w:spacing w:val="-3"/>
          <w:sz w:val="24"/>
          <w:szCs w:val="24"/>
          <w14:textFill>
            <w14:solidFill>
              <w14:schemeClr w14:val="tx1"/>
            </w14:solidFill>
          </w14:textFill>
        </w:rPr>
        <w:t>（4）</w:t>
      </w:r>
      <w:r>
        <w:rPr>
          <w:rFonts w:hint="eastAsia" w:ascii="宋体" w:hAnsi="宋体" w:eastAsia="宋体"/>
          <w:b/>
          <w:color w:val="000000" w:themeColor="text1"/>
          <w:spacing w:val="-3"/>
          <w:sz w:val="24"/>
          <w:szCs w:val="24"/>
          <w14:textFill>
            <w14:solidFill>
              <w14:schemeClr w14:val="tx1"/>
            </w14:solidFill>
          </w14:textFill>
        </w:rPr>
        <w:t>本项目面向</w:t>
      </w:r>
      <w:r>
        <w:rPr>
          <w:rFonts w:hint="eastAsia" w:ascii="宋体" w:hAnsi="宋体" w:eastAsia="宋体"/>
          <w:b/>
          <w:color w:val="000000" w:themeColor="text1"/>
          <w:spacing w:val="-3"/>
          <w:sz w:val="24"/>
          <w:szCs w:val="24"/>
          <w:u w:val="single"/>
          <w14:textFill>
            <w14:solidFill>
              <w14:schemeClr w14:val="tx1"/>
            </w14:solidFill>
          </w14:textFill>
        </w:rPr>
        <w:t>中小微企业</w:t>
      </w:r>
      <w:r>
        <w:rPr>
          <w:rFonts w:hint="eastAsia" w:ascii="宋体" w:hAnsi="宋体" w:eastAsia="宋体"/>
          <w:b/>
          <w:color w:val="000000" w:themeColor="text1"/>
          <w:spacing w:val="-3"/>
          <w:sz w:val="24"/>
          <w:szCs w:val="24"/>
          <w14:textFill>
            <w14:solidFill>
              <w14:schemeClr w14:val="tx1"/>
            </w14:solidFill>
          </w14:textFill>
        </w:rPr>
        <w:t>公开招标。</w:t>
      </w:r>
    </w:p>
    <w:p w14:paraId="4747789E">
      <w:pPr>
        <w:pStyle w:val="7"/>
        <w:keepNext w:val="0"/>
        <w:keepLines w:val="0"/>
        <w:pageBreakBefore w:val="0"/>
        <w:widowControl w:val="0"/>
        <w:kinsoku/>
        <w:wordWrap/>
        <w:overflowPunct/>
        <w:topLinePunct w:val="0"/>
        <w:bidi w:val="0"/>
        <w:adjustRightInd/>
        <w:snapToGrid/>
        <w:spacing w:line="360" w:lineRule="auto"/>
        <w:ind w:left="397" w:right="408" w:firstLine="420"/>
        <w:textAlignment w:val="auto"/>
        <w:rPr>
          <w:rFonts w:ascii="宋体" w:hAnsi="宋体" w:eastAsia="宋体"/>
          <w:b/>
          <w:color w:val="000000" w:themeColor="text1"/>
          <w:spacing w:val="-3"/>
          <w:sz w:val="24"/>
          <w:szCs w:val="24"/>
          <w14:textFill>
            <w14:solidFill>
              <w14:schemeClr w14:val="tx1"/>
            </w14:solidFill>
          </w14:textFill>
        </w:rPr>
      </w:pPr>
      <w:r>
        <w:rPr>
          <w:rFonts w:hint="eastAsia" w:ascii="宋体" w:hAnsi="宋体" w:eastAsia="宋体"/>
          <w:color w:val="000000" w:themeColor="text1"/>
          <w:spacing w:val="-3"/>
          <w:sz w:val="24"/>
          <w:szCs w:val="24"/>
          <w14:textFill>
            <w14:solidFill>
              <w14:schemeClr w14:val="tx1"/>
            </w14:solidFill>
          </w14:textFill>
        </w:rPr>
        <w:t>（5）多功能自助终端维保费用按月结算，其它维保项目按季度付款，院方每月进行服务考核</w:t>
      </w:r>
      <w:r>
        <w:rPr>
          <w:rFonts w:hint="eastAsia" w:ascii="宋体" w:hAnsi="宋体" w:eastAsia="宋体"/>
          <w:b/>
          <w:color w:val="000000" w:themeColor="text1"/>
          <w:spacing w:val="-3"/>
          <w:sz w:val="24"/>
          <w:szCs w:val="24"/>
          <w14:textFill>
            <w14:solidFill>
              <w14:schemeClr w14:val="tx1"/>
            </w14:solidFill>
          </w14:textFill>
        </w:rPr>
        <w:t>（若因医院系统更换原因，相关分项系统进行更换，则该分项维保终止，分项维保费用以该分项新系统上线月份为准）。</w:t>
      </w:r>
    </w:p>
    <w:p w14:paraId="1BEB2516">
      <w:pPr>
        <w:pStyle w:val="7"/>
        <w:keepNext w:val="0"/>
        <w:keepLines w:val="0"/>
        <w:pageBreakBefore w:val="0"/>
        <w:widowControl w:val="0"/>
        <w:kinsoku/>
        <w:wordWrap/>
        <w:overflowPunct/>
        <w:topLinePunct w:val="0"/>
        <w:bidi w:val="0"/>
        <w:adjustRightInd/>
        <w:snapToGrid/>
        <w:spacing w:line="360" w:lineRule="auto"/>
        <w:ind w:left="397" w:right="408" w:firstLine="420"/>
        <w:textAlignment w:val="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pacing w:val="-3"/>
          <w:sz w:val="24"/>
          <w:szCs w:val="24"/>
          <w14:textFill>
            <w14:solidFill>
              <w14:schemeClr w14:val="tx1"/>
            </w14:solidFill>
          </w14:textFill>
        </w:rPr>
        <w:t>（6）</w:t>
      </w:r>
      <w:r>
        <w:rPr>
          <w:rFonts w:hint="eastAsia" w:ascii="宋体" w:hAnsi="宋体" w:eastAsia="宋体"/>
          <w:color w:val="000000" w:themeColor="text1"/>
          <w:sz w:val="24"/>
          <w:szCs w:val="24"/>
          <w14:textFill>
            <w14:solidFill>
              <w14:schemeClr w14:val="tx1"/>
            </w14:solidFill>
          </w14:textFill>
        </w:rPr>
        <w:t>服务商提前对医院硬件设备数量及配置进行谈判了解。</w:t>
      </w:r>
    </w:p>
    <w:p w14:paraId="26FA6EBF">
      <w:pPr>
        <w:pStyle w:val="7"/>
        <w:keepNext w:val="0"/>
        <w:keepLines w:val="0"/>
        <w:pageBreakBefore w:val="0"/>
        <w:widowControl w:val="0"/>
        <w:kinsoku/>
        <w:wordWrap/>
        <w:overflowPunct/>
        <w:topLinePunct w:val="0"/>
        <w:bidi w:val="0"/>
        <w:adjustRightInd/>
        <w:snapToGrid/>
        <w:spacing w:line="360" w:lineRule="auto"/>
        <w:ind w:left="397" w:right="408" w:firstLine="420"/>
        <w:textAlignment w:val="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（7）本招标文件中标注斜体字加下划线的款项为实质性要求和条件，投标人必须逐条做出满足要求和条件的响应，否则将按无效响应处理。</w:t>
      </w:r>
    </w:p>
    <w:p w14:paraId="7077603D">
      <w:pPr>
        <w:pStyle w:val="7"/>
        <w:keepNext w:val="0"/>
        <w:keepLines w:val="0"/>
        <w:pageBreakBefore w:val="0"/>
        <w:widowControl w:val="0"/>
        <w:kinsoku/>
        <w:wordWrap/>
        <w:overflowPunct/>
        <w:topLinePunct w:val="0"/>
        <w:bidi w:val="0"/>
        <w:adjustRightInd/>
        <w:snapToGrid/>
        <w:spacing w:line="360" w:lineRule="auto"/>
        <w:ind w:left="397" w:right="408" w:firstLine="420"/>
        <w:textAlignment w:val="auto"/>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（8）在合同期内，由于项目属性发生变化或者涉及替代的项目，甲方有权随时终止该项目，并按照自然月支付乙方维保费用</w:t>
      </w:r>
      <w:r>
        <w:rPr>
          <w:rFonts w:hint="eastAsia" w:ascii="宋体" w:hAnsi="宋体" w:eastAsia="宋体"/>
          <w:color w:val="000000" w:themeColor="text1"/>
          <w:sz w:val="24"/>
          <w:szCs w:val="24"/>
          <w:lang w:eastAsia="zh-CN"/>
          <w14:textFill>
            <w14:solidFill>
              <w14:schemeClr w14:val="tx1"/>
            </w14:solidFill>
          </w14:textFill>
        </w:rPr>
        <w:t>。</w:t>
      </w:r>
    </w:p>
    <w:p w14:paraId="2EB3EF9C">
      <w:pPr>
        <w:pStyle w:val="7"/>
        <w:keepNext w:val="0"/>
        <w:keepLines w:val="0"/>
        <w:pageBreakBefore w:val="0"/>
        <w:widowControl w:val="0"/>
        <w:kinsoku/>
        <w:wordWrap/>
        <w:overflowPunct/>
        <w:topLinePunct w:val="0"/>
        <w:bidi w:val="0"/>
        <w:adjustRightInd/>
        <w:snapToGrid/>
        <w:spacing w:line="360" w:lineRule="auto"/>
        <w:ind w:left="397" w:right="408" w:firstLine="420"/>
        <w:textAlignment w:val="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（9）本项目</w:t>
      </w:r>
      <w:r>
        <w:rPr>
          <w:rFonts w:hint="eastAsia" w:ascii="宋体" w:hAnsi="宋体" w:eastAsia="宋体"/>
          <w:b/>
          <w:color w:val="000000" w:themeColor="text1"/>
          <w:sz w:val="24"/>
          <w:szCs w:val="24"/>
          <w14:textFill>
            <w14:solidFill>
              <w14:schemeClr w14:val="tx1"/>
            </w14:solidFill>
          </w14:textFill>
        </w:rPr>
        <w:t>不支持联合体投标。</w:t>
      </w:r>
    </w:p>
    <w:p w14:paraId="47FBF96E">
      <w:pPr>
        <w:pStyle w:val="7"/>
        <w:keepNext w:val="0"/>
        <w:keepLines w:val="0"/>
        <w:pageBreakBefore w:val="0"/>
        <w:widowControl w:val="0"/>
        <w:kinsoku/>
        <w:wordWrap/>
        <w:overflowPunct/>
        <w:topLinePunct w:val="0"/>
        <w:bidi w:val="0"/>
        <w:adjustRightInd/>
        <w:snapToGrid/>
        <w:spacing w:line="360" w:lineRule="auto"/>
        <w:ind w:left="397" w:right="408" w:firstLine="420"/>
        <w:textAlignment w:val="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（10）本项目</w:t>
      </w:r>
      <w:r>
        <w:rPr>
          <w:rFonts w:hint="eastAsia" w:ascii="宋体" w:hAnsi="宋体" w:eastAsia="宋体"/>
          <w:b/>
          <w:color w:val="000000" w:themeColor="text1"/>
          <w:sz w:val="24"/>
          <w:szCs w:val="24"/>
          <w14:textFill>
            <w14:solidFill>
              <w14:schemeClr w14:val="tx1"/>
            </w14:solidFill>
          </w14:textFill>
        </w:rPr>
        <w:t>不允许分包或转包。</w:t>
      </w:r>
    </w:p>
    <w:p w14:paraId="289CCEEC">
      <w:pPr>
        <w:keepNext w:val="0"/>
        <w:keepLines w:val="0"/>
        <w:pageBreakBefore w:val="0"/>
        <w:widowControl w:val="0"/>
        <w:kinsoku/>
        <w:wordWrap/>
        <w:overflowPunct/>
        <w:topLinePunct w:val="0"/>
        <w:bidi w:val="0"/>
        <w:adjustRightInd/>
        <w:snapToGrid/>
        <w:spacing w:line="360" w:lineRule="auto"/>
        <w:textAlignment w:val="auto"/>
        <w:rPr>
          <w:rFonts w:ascii="宋体" w:hAnsi="宋体" w:eastAsia="宋体" w:cs="Times New Roman"/>
          <w:b/>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bCs w:val="0"/>
          <w:color w:val="000000" w:themeColor="text1"/>
          <w:kern w:val="2"/>
          <w:sz w:val="24"/>
          <w:szCs w:val="24"/>
          <w:lang w:val="en-US" w:eastAsia="zh-CN" w:bidi="ar-SA"/>
          <w14:textFill>
            <w14:solidFill>
              <w14:schemeClr w14:val="tx1"/>
            </w14:solidFill>
          </w14:textFill>
        </w:rPr>
        <w:t>三、维保设备清单</w:t>
      </w:r>
    </w:p>
    <w:p w14:paraId="22BB0509">
      <w:pPr>
        <w:pStyle w:val="7"/>
        <w:keepNext w:val="0"/>
        <w:keepLines w:val="0"/>
        <w:pageBreakBefore w:val="0"/>
        <w:widowControl w:val="0"/>
        <w:kinsoku/>
        <w:wordWrap/>
        <w:overflowPunct/>
        <w:topLinePunct w:val="0"/>
        <w:bidi w:val="0"/>
        <w:adjustRightInd/>
        <w:snapToGrid/>
        <w:spacing w:line="360" w:lineRule="auto"/>
        <w:ind w:left="397" w:right="408" w:firstLine="420"/>
        <w:textAlignment w:val="auto"/>
        <w:rPr>
          <w:rFonts w:ascii="宋体" w:hAnsi="宋体" w:eastAsia="宋体"/>
          <w:color w:val="000000" w:themeColor="text1"/>
          <w:spacing w:val="-3"/>
          <w:sz w:val="24"/>
          <w:szCs w:val="24"/>
          <w14:textFill>
            <w14:solidFill>
              <w14:schemeClr w14:val="tx1"/>
            </w14:solidFill>
          </w14:textFill>
        </w:rPr>
      </w:pPr>
      <w:r>
        <w:rPr>
          <w:rFonts w:hint="eastAsia" w:ascii="宋体" w:hAnsi="宋体" w:eastAsia="宋体"/>
          <w:color w:val="000000" w:themeColor="text1"/>
          <w:spacing w:val="-3"/>
          <w:sz w:val="24"/>
          <w:szCs w:val="24"/>
          <w14:textFill>
            <w14:solidFill>
              <w14:schemeClr w14:val="tx1"/>
            </w14:solidFill>
          </w14:textFill>
        </w:rPr>
        <w:t>本维保服务涉及</w:t>
      </w:r>
      <w:r>
        <w:rPr>
          <w:rFonts w:hint="eastAsia" w:ascii="宋体" w:hAnsi="宋体" w:eastAsia="宋体"/>
          <w:color w:val="000000" w:themeColor="text1"/>
          <w:sz w:val="24"/>
          <w:szCs w:val="24"/>
          <w:u w:val="single"/>
          <w14:textFill>
            <w14:solidFill>
              <w14:schemeClr w14:val="tx1"/>
            </w14:solidFill>
          </w14:textFill>
        </w:rPr>
        <w:t>自助机、多功能报告机、报到机、候诊屏、诊间屏的</w:t>
      </w:r>
      <w:r>
        <w:rPr>
          <w:rFonts w:hint="eastAsia" w:ascii="宋体" w:hAnsi="宋体" w:eastAsia="宋体"/>
          <w:color w:val="000000" w:themeColor="text1"/>
          <w:sz w:val="24"/>
          <w:szCs w:val="24"/>
          <w14:textFill>
            <w14:solidFill>
              <w14:schemeClr w14:val="tx1"/>
            </w14:solidFill>
          </w14:textFill>
        </w:rPr>
        <w:t>设备的日常维护、维修（含配件），</w:t>
      </w:r>
      <w:r>
        <w:rPr>
          <w:rFonts w:hint="eastAsia" w:ascii="宋体" w:hAnsi="宋体" w:eastAsia="宋体"/>
          <w:color w:val="000000" w:themeColor="text1"/>
          <w:spacing w:val="-3"/>
          <w:sz w:val="24"/>
          <w:szCs w:val="24"/>
          <w14:textFill>
            <w14:solidFill>
              <w14:schemeClr w14:val="tx1"/>
            </w14:solidFill>
          </w14:textFill>
        </w:rPr>
        <w:t xml:space="preserve"> 维保服务设备清单如下：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5596"/>
        <w:gridCol w:w="2003"/>
        <w:gridCol w:w="1383"/>
      </w:tblGrid>
      <w:tr w14:paraId="20261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36" w:type="dxa"/>
            <w:noWrap/>
            <w:vAlign w:val="center"/>
          </w:tcPr>
          <w:p w14:paraId="7BBCE0D0">
            <w:pPr>
              <w:widowControl/>
              <w:jc w:val="center"/>
              <w:rPr>
                <w:rFonts w:ascii="宋体" w:hAnsi="宋体"/>
                <w:b/>
                <w:bCs/>
                <w:color w:val="000000" w:themeColor="text1"/>
                <w14:textFill>
                  <w14:solidFill>
                    <w14:schemeClr w14:val="tx1"/>
                  </w14:solidFill>
                </w14:textFill>
              </w:rPr>
            </w:pPr>
            <w:r>
              <w:rPr>
                <w:rFonts w:hint="eastAsia" w:ascii="宋体" w:hAnsi="宋体"/>
                <w:b/>
                <w:bCs/>
                <w:color w:val="000000" w:themeColor="text1"/>
                <w:szCs w:val="21"/>
                <w14:textFill>
                  <w14:solidFill>
                    <w14:schemeClr w14:val="tx1"/>
                  </w14:solidFill>
                </w14:textFill>
              </w:rPr>
              <w:t>序号</w:t>
            </w:r>
          </w:p>
        </w:tc>
        <w:tc>
          <w:tcPr>
            <w:tcW w:w="5596" w:type="dxa"/>
            <w:noWrap/>
            <w:vAlign w:val="center"/>
          </w:tcPr>
          <w:p w14:paraId="180994C2">
            <w:pPr>
              <w:widowControl/>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设备名称</w:t>
            </w:r>
          </w:p>
        </w:tc>
        <w:tc>
          <w:tcPr>
            <w:tcW w:w="2003" w:type="dxa"/>
            <w:noWrap/>
            <w:vAlign w:val="center"/>
          </w:tcPr>
          <w:p w14:paraId="429CA06E">
            <w:pPr>
              <w:widowControl/>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原设备提供商</w:t>
            </w:r>
          </w:p>
        </w:tc>
        <w:tc>
          <w:tcPr>
            <w:tcW w:w="1383" w:type="dxa"/>
            <w:noWrap/>
            <w:vAlign w:val="center"/>
          </w:tcPr>
          <w:p w14:paraId="0DC38085">
            <w:pPr>
              <w:widowControl/>
              <w:jc w:val="center"/>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数量</w:t>
            </w:r>
          </w:p>
        </w:tc>
      </w:tr>
      <w:tr w14:paraId="11FED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36" w:type="dxa"/>
            <w:noWrap/>
            <w:vAlign w:val="center"/>
          </w:tcPr>
          <w:p w14:paraId="708C8A31">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p>
        </w:tc>
        <w:tc>
          <w:tcPr>
            <w:tcW w:w="5596" w:type="dxa"/>
            <w:noWrap/>
            <w:vAlign w:val="center"/>
          </w:tcPr>
          <w:p w14:paraId="5A9E7D99">
            <w:pPr>
              <w:widowControl/>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自助报到机</w:t>
            </w:r>
          </w:p>
        </w:tc>
        <w:tc>
          <w:tcPr>
            <w:tcW w:w="2003" w:type="dxa"/>
            <w:noWrap/>
            <w:vAlign w:val="center"/>
          </w:tcPr>
          <w:p w14:paraId="0D4543E8">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南师大</w:t>
            </w:r>
          </w:p>
        </w:tc>
        <w:tc>
          <w:tcPr>
            <w:tcW w:w="1383" w:type="dxa"/>
            <w:noWrap/>
            <w:vAlign w:val="center"/>
          </w:tcPr>
          <w:p w14:paraId="354ACF48">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32台</w:t>
            </w:r>
          </w:p>
        </w:tc>
      </w:tr>
      <w:tr w14:paraId="76C36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36" w:type="dxa"/>
            <w:noWrap/>
            <w:vAlign w:val="center"/>
          </w:tcPr>
          <w:p w14:paraId="78E1026D">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p>
        </w:tc>
        <w:tc>
          <w:tcPr>
            <w:tcW w:w="5596" w:type="dxa"/>
            <w:noWrap/>
            <w:vAlign w:val="center"/>
          </w:tcPr>
          <w:p w14:paraId="6B2706CE">
            <w:pPr>
              <w:widowControl/>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55英寸候诊显示屏（含Windows控制器,显示屏）</w:t>
            </w:r>
          </w:p>
        </w:tc>
        <w:tc>
          <w:tcPr>
            <w:tcW w:w="2003" w:type="dxa"/>
            <w:noWrap/>
            <w:vAlign w:val="center"/>
          </w:tcPr>
          <w:p w14:paraId="533D0CBD">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南师大</w:t>
            </w:r>
          </w:p>
        </w:tc>
        <w:tc>
          <w:tcPr>
            <w:tcW w:w="1383" w:type="dxa"/>
            <w:noWrap/>
            <w:vAlign w:val="center"/>
          </w:tcPr>
          <w:p w14:paraId="681E8AE5">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29套</w:t>
            </w:r>
          </w:p>
        </w:tc>
      </w:tr>
      <w:tr w14:paraId="761AB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36" w:type="dxa"/>
            <w:noWrap/>
            <w:vAlign w:val="center"/>
          </w:tcPr>
          <w:p w14:paraId="40E175E0">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w:t>
            </w:r>
          </w:p>
        </w:tc>
        <w:tc>
          <w:tcPr>
            <w:tcW w:w="5596" w:type="dxa"/>
            <w:noWrap/>
            <w:vAlign w:val="center"/>
          </w:tcPr>
          <w:p w14:paraId="2473ECAA">
            <w:pPr>
              <w:widowControl/>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32英寸窗口显示屏（含Windows控制器,显示屏）</w:t>
            </w:r>
          </w:p>
        </w:tc>
        <w:tc>
          <w:tcPr>
            <w:tcW w:w="2003" w:type="dxa"/>
            <w:noWrap/>
            <w:vAlign w:val="center"/>
          </w:tcPr>
          <w:p w14:paraId="0E4B0AE1">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南师大</w:t>
            </w:r>
          </w:p>
        </w:tc>
        <w:tc>
          <w:tcPr>
            <w:tcW w:w="1383" w:type="dxa"/>
            <w:noWrap/>
            <w:vAlign w:val="center"/>
          </w:tcPr>
          <w:p w14:paraId="6FED1A66">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33套</w:t>
            </w:r>
          </w:p>
        </w:tc>
      </w:tr>
      <w:tr w14:paraId="03646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36" w:type="dxa"/>
            <w:noWrap/>
            <w:vAlign w:val="center"/>
          </w:tcPr>
          <w:p w14:paraId="792754F6">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w:t>
            </w:r>
          </w:p>
        </w:tc>
        <w:tc>
          <w:tcPr>
            <w:tcW w:w="5596" w:type="dxa"/>
            <w:noWrap/>
            <w:vAlign w:val="center"/>
          </w:tcPr>
          <w:p w14:paraId="74F3592D">
            <w:pPr>
              <w:widowControl/>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价格公示信息显示屏（含Windows控制器,显示屏）</w:t>
            </w:r>
          </w:p>
        </w:tc>
        <w:tc>
          <w:tcPr>
            <w:tcW w:w="2003" w:type="dxa"/>
            <w:noWrap/>
            <w:vAlign w:val="center"/>
          </w:tcPr>
          <w:p w14:paraId="36B0FE45">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南师大</w:t>
            </w:r>
          </w:p>
        </w:tc>
        <w:tc>
          <w:tcPr>
            <w:tcW w:w="1383" w:type="dxa"/>
            <w:noWrap/>
            <w:vAlign w:val="center"/>
          </w:tcPr>
          <w:p w14:paraId="3F177EB3">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5套</w:t>
            </w:r>
          </w:p>
        </w:tc>
      </w:tr>
      <w:tr w14:paraId="0CB03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36" w:type="dxa"/>
            <w:noWrap/>
            <w:vAlign w:val="center"/>
          </w:tcPr>
          <w:p w14:paraId="3DBD35A9">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w:t>
            </w:r>
          </w:p>
        </w:tc>
        <w:tc>
          <w:tcPr>
            <w:tcW w:w="5596" w:type="dxa"/>
            <w:noWrap/>
            <w:vAlign w:val="center"/>
          </w:tcPr>
          <w:p w14:paraId="1EC06339">
            <w:pPr>
              <w:widowControl/>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22英寸诊间分诊显示屏（含Windows控制器,显示屏）</w:t>
            </w:r>
          </w:p>
        </w:tc>
        <w:tc>
          <w:tcPr>
            <w:tcW w:w="2003" w:type="dxa"/>
            <w:noWrap/>
            <w:vAlign w:val="center"/>
          </w:tcPr>
          <w:p w14:paraId="55AB387B">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南师大</w:t>
            </w:r>
          </w:p>
        </w:tc>
        <w:tc>
          <w:tcPr>
            <w:tcW w:w="1383" w:type="dxa"/>
            <w:noWrap/>
            <w:vAlign w:val="center"/>
          </w:tcPr>
          <w:p w14:paraId="24A2980F">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100套</w:t>
            </w:r>
          </w:p>
        </w:tc>
      </w:tr>
      <w:tr w14:paraId="3B96C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36" w:type="dxa"/>
            <w:noWrap/>
            <w:vAlign w:val="center"/>
          </w:tcPr>
          <w:p w14:paraId="5EECC670">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w:t>
            </w:r>
          </w:p>
        </w:tc>
        <w:tc>
          <w:tcPr>
            <w:tcW w:w="5596" w:type="dxa"/>
            <w:noWrap/>
            <w:vAlign w:val="center"/>
          </w:tcPr>
          <w:p w14:paraId="3C85A74E">
            <w:pPr>
              <w:widowControl/>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停诊信息显示屏（含Windows控制器,显示屏）</w:t>
            </w:r>
          </w:p>
        </w:tc>
        <w:tc>
          <w:tcPr>
            <w:tcW w:w="2003" w:type="dxa"/>
            <w:noWrap/>
            <w:vAlign w:val="center"/>
          </w:tcPr>
          <w:p w14:paraId="6E703566">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南师大</w:t>
            </w:r>
          </w:p>
        </w:tc>
        <w:tc>
          <w:tcPr>
            <w:tcW w:w="1383" w:type="dxa"/>
            <w:noWrap/>
            <w:vAlign w:val="center"/>
          </w:tcPr>
          <w:p w14:paraId="61BD70A1">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2套</w:t>
            </w:r>
          </w:p>
        </w:tc>
      </w:tr>
      <w:tr w14:paraId="7EA2B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36" w:type="dxa"/>
            <w:noWrap/>
            <w:vAlign w:val="center"/>
          </w:tcPr>
          <w:p w14:paraId="21E83DF6">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w:t>
            </w:r>
          </w:p>
        </w:tc>
        <w:tc>
          <w:tcPr>
            <w:tcW w:w="5596" w:type="dxa"/>
            <w:noWrap/>
            <w:vAlign w:val="center"/>
          </w:tcPr>
          <w:p w14:paraId="659DC36F">
            <w:pPr>
              <w:widowControl/>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多功能自助终端  </w:t>
            </w:r>
          </w:p>
        </w:tc>
        <w:tc>
          <w:tcPr>
            <w:tcW w:w="2003" w:type="dxa"/>
            <w:noWrap/>
            <w:vAlign w:val="center"/>
          </w:tcPr>
          <w:p w14:paraId="705F5496">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易联众</w:t>
            </w:r>
          </w:p>
        </w:tc>
        <w:tc>
          <w:tcPr>
            <w:tcW w:w="1383" w:type="dxa"/>
            <w:noWrap/>
            <w:vAlign w:val="center"/>
          </w:tcPr>
          <w:p w14:paraId="143CE17A">
            <w:pPr>
              <w:widowControl/>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45</w:t>
            </w:r>
            <w:r>
              <w:rPr>
                <w:rFonts w:hint="eastAsia" w:ascii="宋体" w:hAnsi="宋体"/>
                <w:color w:val="000000" w:themeColor="text1"/>
                <w14:textFill>
                  <w14:solidFill>
                    <w14:schemeClr w14:val="tx1"/>
                  </w14:solidFill>
                </w14:textFill>
              </w:rPr>
              <w:t>台</w:t>
            </w:r>
          </w:p>
        </w:tc>
      </w:tr>
    </w:tbl>
    <w:p w14:paraId="434D7F25">
      <w:pPr>
        <w:pStyle w:val="7"/>
        <w:pageBreakBefore w:val="0"/>
        <w:widowControl w:val="0"/>
        <w:kinsoku/>
        <w:wordWrap/>
        <w:overflowPunct/>
        <w:topLinePunct w:val="0"/>
        <w:bidi w:val="0"/>
        <w:spacing w:line="360" w:lineRule="auto"/>
        <w:textAlignment w:val="auto"/>
        <w:rPr>
          <w:rFonts w:ascii="宋体" w:hAnsi="宋体" w:eastAsia="宋体"/>
          <w:b/>
          <w:color w:val="000000" w:themeColor="text1"/>
          <w14:textFill>
            <w14:solidFill>
              <w14:schemeClr w14:val="tx1"/>
            </w14:solidFill>
          </w14:textFill>
        </w:rPr>
      </w:pPr>
      <w:r>
        <w:rPr>
          <w:rFonts w:hint="eastAsia" w:ascii="宋体" w:hAnsi="宋体" w:eastAsia="宋体"/>
          <w:b/>
          <w:color w:val="000000" w:themeColor="text1"/>
          <w14:textFill>
            <w14:solidFill>
              <w14:schemeClr w14:val="tx1"/>
            </w14:solidFill>
          </w14:textFill>
        </w:rPr>
        <w:t>报价按上表项目分项报价</w:t>
      </w:r>
    </w:p>
    <w:p w14:paraId="0F137FE4">
      <w:pPr>
        <w:pStyle w:val="4"/>
        <w:keepNext w:val="0"/>
        <w:keepLines w:val="0"/>
        <w:pageBreakBefore w:val="0"/>
        <w:widowControl w:val="0"/>
        <w:numPr>
          <w:ilvl w:val="0"/>
          <w:numId w:val="0"/>
        </w:numPr>
        <w:kinsoku/>
        <w:wordWrap/>
        <w:overflowPunct/>
        <w:topLinePunct w:val="0"/>
        <w:autoSpaceDE w:val="0"/>
        <w:autoSpaceDN w:val="0"/>
        <w:bidi w:val="0"/>
        <w:spacing w:line="360" w:lineRule="auto"/>
        <w:jc w:val="left"/>
        <w:textAlignment w:val="auto"/>
        <w:rPr>
          <w:rFonts w:hint="eastAsia" w:ascii="宋体" w:hAnsi="宋体" w:eastAsia="宋体" w:cs="Times New Roman"/>
          <w:b/>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bCs w:val="0"/>
          <w:color w:val="000000" w:themeColor="text1"/>
          <w:kern w:val="2"/>
          <w:sz w:val="24"/>
          <w:szCs w:val="24"/>
          <w:lang w:val="en-US" w:eastAsia="zh-CN" w:bidi="ar-SA"/>
          <w14:textFill>
            <w14:solidFill>
              <w14:schemeClr w14:val="tx1"/>
            </w14:solidFill>
          </w14:textFill>
        </w:rPr>
        <w:t>四、服务要求</w:t>
      </w:r>
    </w:p>
    <w:p w14:paraId="7A1E124F">
      <w:pPr>
        <w:pageBreakBefore w:val="0"/>
        <w:widowControl w:val="0"/>
        <w:kinsoku/>
        <w:wordWrap/>
        <w:overflowPunct/>
        <w:topLinePunct w:val="0"/>
        <w:bidi w:val="0"/>
        <w:spacing w:line="360" w:lineRule="auto"/>
        <w:ind w:firstLine="480" w:firstLineChars="200"/>
        <w:textAlignment w:val="auto"/>
        <w:rPr>
          <w:rFonts w:hint="eastAsia" w:ascii="宋体" w:hAnsi="宋体" w:eastAsia="宋体"/>
          <w:sz w:val="24"/>
          <w:lang w:eastAsia="zh-CN"/>
        </w:rPr>
      </w:pPr>
      <w:r>
        <w:rPr>
          <w:rFonts w:hint="eastAsia" w:ascii="宋体" w:hAnsi="宋体"/>
          <w:sz w:val="24"/>
        </w:rPr>
        <w:t>（1）服务商应对所运维设备功能及维护、维修配件等充分了解（提供驻场服务方案）</w:t>
      </w:r>
      <w:r>
        <w:rPr>
          <w:rFonts w:hint="eastAsia" w:ascii="宋体" w:hAnsi="宋体"/>
          <w:sz w:val="24"/>
          <w:lang w:eastAsia="zh-CN"/>
        </w:rPr>
        <w:t>。</w:t>
      </w:r>
    </w:p>
    <w:p w14:paraId="6EB161A6">
      <w:pPr>
        <w:pageBreakBefore w:val="0"/>
        <w:widowControl w:val="0"/>
        <w:kinsoku/>
        <w:wordWrap/>
        <w:overflowPunct/>
        <w:topLinePunct w:val="0"/>
        <w:bidi w:val="0"/>
        <w:adjustRightInd w:val="0"/>
        <w:snapToGrid w:val="0"/>
        <w:spacing w:line="360" w:lineRule="auto"/>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hint="eastAsia" w:ascii="宋体" w:hAnsi="宋体"/>
          <w:bCs/>
          <w:color w:val="000000" w:themeColor="text1"/>
          <w:sz w:val="24"/>
          <w14:textFill>
            <w14:solidFill>
              <w14:schemeClr w14:val="tx1"/>
            </w14:solidFill>
          </w14:textFill>
        </w:rPr>
        <w:t>设备保养</w:t>
      </w:r>
      <w:r>
        <w:rPr>
          <w:rFonts w:hint="eastAsia" w:ascii="宋体" w:hAnsi="宋体"/>
          <w:color w:val="000000" w:themeColor="text1"/>
          <w:sz w:val="24"/>
          <w14:textFill>
            <w14:solidFill>
              <w14:schemeClr w14:val="tx1"/>
            </w14:solidFill>
          </w14:textFill>
        </w:rPr>
        <w:t>：每月对运维设备进行故障检测、除尘保养、运行状态检查，确保设备开机率，保证业务正常运行。设备保养应出具详细全面的相关书面文档，及时提供采购人有关系统运行的状态报告和运行建议。</w:t>
      </w:r>
    </w:p>
    <w:p w14:paraId="25FC0E60">
      <w:pPr>
        <w:pageBreakBefore w:val="0"/>
        <w:widowControl w:val="0"/>
        <w:kinsoku/>
        <w:wordWrap/>
        <w:overflowPunct/>
        <w:topLinePunct w:val="0"/>
        <w:bidi w:val="0"/>
        <w:spacing w:line="360" w:lineRule="auto"/>
        <w:ind w:firstLine="480" w:firstLineChars="200"/>
        <w:textAlignment w:val="auto"/>
        <w:rPr>
          <w:rFonts w:ascii="宋体" w:hAnsi="宋体"/>
          <w:b/>
          <w:bCs/>
          <w:sz w:val="24"/>
        </w:rPr>
      </w:pPr>
      <w:r>
        <w:rPr>
          <w:rFonts w:hint="eastAsia" w:ascii="宋体" w:hAnsi="宋体"/>
          <w:sz w:val="24"/>
        </w:rPr>
        <w:t>（3）服务模式：服务商应提供主动与被动服务。每天7:30应逐一对运维设备进行巡检，确保正常就诊时间相关设备工作正常。巡检过程</w:t>
      </w:r>
      <w:r>
        <w:rPr>
          <w:rFonts w:hint="eastAsia" w:ascii="宋体" w:hAnsi="宋体"/>
          <w:sz w:val="24"/>
          <w:lang w:val="en-US" w:eastAsia="zh-CN"/>
        </w:rPr>
        <w:t>中</w:t>
      </w:r>
      <w:r>
        <w:rPr>
          <w:rFonts w:hint="eastAsia" w:ascii="宋体" w:hAnsi="宋体"/>
          <w:sz w:val="24"/>
        </w:rPr>
        <w:t>发现设备故障应及时处置，系统使用异常应及时与信息化处联系处置。服务商应还能供24小时电话或微信报修服务，接到报修信息后，10分钟内响应并到达故障现场，一般故障半小时内解决问题并恢复正常使用，特殊故障8小时内解决问题并恢复正常使用，如不能在8小时内排除故障解决问题，服务商提供同等配置、型号或以上的备用机供医院免费使用。</w:t>
      </w:r>
      <w:r>
        <w:rPr>
          <w:rFonts w:hint="eastAsia" w:ascii="宋体" w:hAnsi="宋体"/>
          <w:b/>
          <w:bCs/>
          <w:sz w:val="24"/>
        </w:rPr>
        <w:t>（提供服务承诺函，加盖投标人公章）</w:t>
      </w:r>
    </w:p>
    <w:p w14:paraId="51C03019">
      <w:pPr>
        <w:pageBreakBefore w:val="0"/>
        <w:widowControl w:val="0"/>
        <w:kinsoku/>
        <w:wordWrap/>
        <w:overflowPunct/>
        <w:topLinePunct w:val="0"/>
        <w:bidi w:val="0"/>
        <w:spacing w:line="360" w:lineRule="auto"/>
        <w:ind w:firstLine="480" w:firstLineChars="200"/>
        <w:textAlignment w:val="auto"/>
        <w:rPr>
          <w:rFonts w:ascii="宋体" w:hAnsi="宋体"/>
          <w:sz w:val="24"/>
        </w:rPr>
      </w:pPr>
      <w:r>
        <w:rPr>
          <w:rFonts w:hint="eastAsia" w:ascii="宋体" w:hAnsi="宋体"/>
          <w:sz w:val="24"/>
        </w:rPr>
        <w:t>（4）故障维修：当机器发生故障或机件损坏时，及时提供现场更换服务，维修提供配件应符合原有设备相关技术参数，不得使用代替产品，每次维修后工程师向院方提供书面维修保报告一份，如配件涉及唯一供应商，服务商应自行与供应商联系，由此而产生的所有费用由服务商承担。</w:t>
      </w:r>
      <w:r>
        <w:rPr>
          <w:rFonts w:hint="eastAsia" w:ascii="宋体" w:hAnsi="宋体"/>
          <w:b/>
          <w:bCs/>
          <w:sz w:val="24"/>
        </w:rPr>
        <w:t>（提供服务承诺函，加盖投标人公章）</w:t>
      </w:r>
    </w:p>
    <w:p w14:paraId="550203E6">
      <w:pPr>
        <w:pageBreakBefore w:val="0"/>
        <w:widowControl w:val="0"/>
        <w:kinsoku/>
        <w:wordWrap/>
        <w:overflowPunct/>
        <w:topLinePunct w:val="0"/>
        <w:bidi w:val="0"/>
        <w:spacing w:line="360" w:lineRule="auto"/>
        <w:ind w:firstLine="480" w:firstLineChars="200"/>
        <w:textAlignment w:val="auto"/>
        <w:rPr>
          <w:rFonts w:ascii="宋体" w:hAnsi="宋体"/>
          <w:sz w:val="24"/>
        </w:rPr>
      </w:pPr>
      <w:r>
        <w:rPr>
          <w:rFonts w:hint="eastAsia" w:ascii="宋体" w:hAnsi="宋体"/>
          <w:sz w:val="24"/>
        </w:rPr>
        <w:t>（5）服务商必须指定固定联系人负责此项目运维管理。日常驻场运维人员不得少于2人（东、西两区均应安排服务人员），服务人员应具有网络与信息安全管理员高级（三级）及以上证书（提供服务承诺函和信息安全管理员高级（三级）及以上证书加盖投标人公章；提供投标人为运维人员缴纳的2026年2月至4月的社保证明材料）</w:t>
      </w:r>
    </w:p>
    <w:p w14:paraId="495C8012">
      <w:pPr>
        <w:pageBreakBefore w:val="0"/>
        <w:widowControl w:val="0"/>
        <w:kinsoku/>
        <w:wordWrap/>
        <w:overflowPunct/>
        <w:topLinePunct w:val="0"/>
        <w:bidi w:val="0"/>
        <w:spacing w:line="360" w:lineRule="auto"/>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（6）备件储备：服务商应依据设备状况储备相应维修零配件，并制订应急处置方案。</w:t>
      </w:r>
    </w:p>
    <w:p w14:paraId="7CAA137E">
      <w:pPr>
        <w:pageBreakBefore w:val="0"/>
        <w:widowControl w:val="0"/>
        <w:kinsoku/>
        <w:wordWrap/>
        <w:overflowPunct/>
        <w:topLinePunct w:val="0"/>
        <w:bidi w:val="0"/>
        <w:spacing w:line="360" w:lineRule="auto"/>
        <w:ind w:firstLine="480" w:firstLineChars="200"/>
        <w:textAlignment w:val="auto"/>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（7）服务期间如出现设备已失去维修价值，或达到报废标准时，服务商需提前1个月向信息化处提交评估报告，由院方同意后再行处置。</w:t>
      </w:r>
    </w:p>
    <w:p w14:paraId="23BACAA0">
      <w:pPr>
        <w:pageBreakBefore w:val="0"/>
        <w:widowControl w:val="0"/>
        <w:kinsoku/>
        <w:wordWrap/>
        <w:overflowPunct/>
        <w:topLinePunct w:val="0"/>
        <w:bidi w:val="0"/>
        <w:spacing w:line="360" w:lineRule="auto"/>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（8）项目总费用中包括运维期内所有费用（含服务费及设备更换费用），除院方认可的人为因素导致设备损坏的外，设备维护费用由服务商</w:t>
      </w:r>
      <w:r>
        <w:rPr>
          <w:rFonts w:ascii="宋体" w:hAnsi="宋体"/>
          <w:color w:val="000000" w:themeColor="text1"/>
          <w:sz w:val="24"/>
          <w14:textFill>
            <w14:solidFill>
              <w14:schemeClr w14:val="tx1"/>
            </w14:solidFill>
          </w14:textFill>
        </w:rPr>
        <w:t>承担</w:t>
      </w:r>
      <w:r>
        <w:rPr>
          <w:rFonts w:hint="eastAsia" w:ascii="宋体" w:hAnsi="宋体"/>
          <w:color w:val="000000" w:themeColor="text1"/>
          <w:sz w:val="24"/>
          <w14:textFill>
            <w14:solidFill>
              <w14:schemeClr w14:val="tx1"/>
            </w14:solidFill>
          </w14:textFill>
        </w:rPr>
        <w:t>，院方不再提供其它费用。</w:t>
      </w:r>
      <w:r>
        <w:rPr>
          <w:rFonts w:hint="eastAsia" w:ascii="宋体" w:hAnsi="宋体"/>
          <w:b/>
          <w:bCs/>
          <w:color w:val="000000" w:themeColor="text1"/>
          <w:sz w:val="24"/>
          <w14:textFill>
            <w14:solidFill>
              <w14:schemeClr w14:val="tx1"/>
            </w14:solidFill>
          </w14:textFill>
        </w:rPr>
        <w:t>（</w:t>
      </w:r>
      <w:r>
        <w:rPr>
          <w:rFonts w:hint="eastAsia" w:ascii="宋体" w:hAnsi="宋体"/>
          <w:b/>
          <w:bCs/>
          <w:sz w:val="24"/>
        </w:rPr>
        <w:t>提供服务承诺函，加盖投标人公章）</w:t>
      </w:r>
    </w:p>
    <w:p w14:paraId="4FFC2DB9">
      <w:pPr>
        <w:pageBreakBefore w:val="0"/>
        <w:widowControl w:val="0"/>
        <w:kinsoku/>
        <w:wordWrap/>
        <w:overflowPunct/>
        <w:topLinePunct w:val="0"/>
        <w:bidi w:val="0"/>
        <w:spacing w:line="360" w:lineRule="auto"/>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服务文档：供应商应建立完整的文档记录，按时向采购人提供装订成册的纸质版与电子版文档，具体要求为：每个月10日前向采购人提供上月的巡检报告，详细记录巡检日期、巡检人、巡检内容、问题、采取措施及建议、备品备件的使用及储备情况等内容，双方签字确认；故障抢修后的1个工作日内向采购人提交“故障检修记录”，每个自然月的10日前向采购人提供上月的抢修统计记录，其中至少记录接报修时间、报修人、到达现场时间、修复时间、故障现象、抢修过程等；</w:t>
      </w:r>
    </w:p>
    <w:p w14:paraId="1872E4A2">
      <w:pPr>
        <w:pageBreakBefore w:val="0"/>
        <w:widowControl w:val="0"/>
        <w:kinsoku/>
        <w:wordWrap/>
        <w:overflowPunct/>
        <w:topLinePunct w:val="0"/>
        <w:bidi w:val="0"/>
        <w:spacing w:line="360" w:lineRule="auto"/>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违约责任：如果服务商未能履行服务承诺，造成采购人实际经济损失，或者由于供应商技术人员责任造成买方设备损坏或其它责任事故，供应商必须承担相应赔偿。事故所造成损失的具体金额评估，由经双方认可的第三方权威机构执行；并且为评估所产生的其它费用，同样由事故责任方承担。</w:t>
      </w:r>
    </w:p>
    <w:p w14:paraId="0AB9C6D7">
      <w:pPr>
        <w:pageBreakBefore w:val="0"/>
        <w:widowControl w:val="0"/>
        <w:kinsoku/>
        <w:wordWrap/>
        <w:overflowPunct/>
        <w:topLinePunct w:val="0"/>
        <w:bidi w:val="0"/>
        <w:snapToGrid w:val="0"/>
        <w:spacing w:line="360" w:lineRule="auto"/>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（11）对于涉及分诊叫号系统硬件模块的维修和设备的更换，所使用硬件设备的技术参数与质量不得低于原厂原配品质，满足医院现有系统的运行环境。在物理模块融合期间，必须保证原系统的正常运行。</w:t>
      </w:r>
    </w:p>
    <w:p w14:paraId="140DCB20">
      <w:pPr>
        <w:pageBreakBefore w:val="0"/>
        <w:widowControl w:val="0"/>
        <w:kinsoku/>
        <w:wordWrap/>
        <w:overflowPunct/>
        <w:topLinePunct w:val="0"/>
        <w:bidi w:val="0"/>
        <w:snapToGrid w:val="0"/>
        <w:spacing w:line="360" w:lineRule="auto"/>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对于涉及多功能自助终端管理平台硬件模块的维修和设备的更换，所使用硬件设备的技术参数与质量不得低于原厂原配品质，满足医院现有系统的运行环境。在物理模块融合期间，必须保证原系统的正常运行。</w:t>
      </w:r>
    </w:p>
    <w:p w14:paraId="703633C2">
      <w:pPr>
        <w:pageBreakBefore w:val="0"/>
        <w:widowControl w:val="0"/>
        <w:kinsoku/>
        <w:wordWrap/>
        <w:overflowPunct/>
        <w:topLinePunct w:val="0"/>
        <w:bidi w:val="0"/>
        <w:spacing w:line="360" w:lineRule="auto"/>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（13）若涉及设备整体更换或控制模块更换，由中标单位负责系统接入所有事宜，医院不再支付额外费用。</w:t>
      </w:r>
    </w:p>
    <w:p w14:paraId="6A6C8EF6">
      <w:pPr>
        <w:pStyle w:val="2"/>
        <w:pageBreakBefore w:val="0"/>
        <w:widowControl w:val="0"/>
        <w:kinsoku/>
        <w:wordWrap/>
        <w:overflowPunct/>
        <w:topLinePunct w:val="0"/>
        <w:bidi w:val="0"/>
        <w:spacing w:line="360" w:lineRule="auto"/>
        <w:ind w:firstLine="480" w:firstLineChars="200"/>
        <w:textAlignment w:val="auto"/>
        <w:rPr>
          <w:rFonts w:ascii="宋体" w:hAnsi="宋体" w:eastAsia="宋体"/>
          <w:color w:val="000000" w:themeColor="text1"/>
          <w:kern w:val="2"/>
          <w14:textFill>
            <w14:solidFill>
              <w14:schemeClr w14:val="tx1"/>
            </w14:solidFill>
          </w14:textFill>
        </w:rPr>
      </w:pPr>
      <w:r>
        <w:rPr>
          <w:rFonts w:hint="eastAsia" w:ascii="宋体" w:hAnsi="宋体" w:eastAsia="宋体"/>
          <w:color w:val="000000" w:themeColor="text1"/>
          <w:kern w:val="2"/>
          <w14:textFill>
            <w14:solidFill>
              <w14:schemeClr w14:val="tx1"/>
            </w14:solidFill>
          </w14:textFill>
        </w:rPr>
        <w:t>（14）服务商对于智慧医院一期硬件运维过程中应当做好信息不良事件的梳理和记录，同一故障在同一个月内连续发生三次，服务商应当更换整个模块，同时跟信息化处书面报备。</w:t>
      </w:r>
    </w:p>
    <w:p w14:paraId="3D255F01">
      <w:pPr>
        <w:pStyle w:val="5"/>
        <w:pageBreakBefore w:val="0"/>
        <w:widowControl w:val="0"/>
        <w:kinsoku/>
        <w:wordWrap/>
        <w:overflowPunct/>
        <w:topLinePunct w:val="0"/>
        <w:bidi w:val="0"/>
        <w:spacing w:before="0" w:after="0" w:line="360" w:lineRule="auto"/>
        <w:textAlignment w:val="auto"/>
        <w:rPr>
          <w:rFonts w:hint="eastAsia" w:ascii="宋体" w:hAnsi="宋体" w:eastAsia="宋体" w:cs="Times New Roman"/>
          <w:b/>
          <w:bCs w:val="0"/>
          <w:color w:val="000000" w:themeColor="text1"/>
          <w:kern w:val="2"/>
          <w:sz w:val="24"/>
          <w:szCs w:val="24"/>
          <w:lang w:val="en-US" w:eastAsia="zh-CN" w:bidi="ar-SA"/>
          <w14:textFill>
            <w14:solidFill>
              <w14:schemeClr w14:val="tx1"/>
            </w14:solidFill>
          </w14:textFill>
        </w:rPr>
      </w:pPr>
      <w:r>
        <w:rPr>
          <w:rFonts w:hint="eastAsia" w:ascii="宋体" w:hAnsi="宋体" w:cs="Times New Roman"/>
          <w:b/>
          <w:bCs w:val="0"/>
          <w:color w:val="000000" w:themeColor="text1"/>
          <w:kern w:val="2"/>
          <w:sz w:val="24"/>
          <w:szCs w:val="24"/>
          <w:lang w:val="en-US" w:eastAsia="zh-CN" w:bidi="ar-SA"/>
          <w14:textFill>
            <w14:solidFill>
              <w14:schemeClr w14:val="tx1"/>
            </w14:solidFill>
          </w14:textFill>
        </w:rPr>
        <w:t>五</w:t>
      </w:r>
      <w:r>
        <w:rPr>
          <w:rFonts w:hint="eastAsia" w:ascii="宋体" w:hAnsi="宋体" w:eastAsia="宋体" w:cs="Times New Roman"/>
          <w:b/>
          <w:bCs w:val="0"/>
          <w:color w:val="000000" w:themeColor="text1"/>
          <w:kern w:val="2"/>
          <w:sz w:val="24"/>
          <w:szCs w:val="24"/>
          <w:lang w:val="en-US" w:eastAsia="zh-CN" w:bidi="ar-SA"/>
          <w14:textFill>
            <w14:solidFill>
              <w14:schemeClr w14:val="tx1"/>
            </w14:solidFill>
          </w14:textFill>
        </w:rPr>
        <w:t>、服务考核</w:t>
      </w:r>
    </w:p>
    <w:p w14:paraId="5DBA79FC">
      <w:pPr>
        <w:pStyle w:val="2"/>
        <w:pageBreakBefore w:val="0"/>
        <w:widowControl w:val="0"/>
        <w:numPr>
          <w:ilvl w:val="0"/>
          <w:numId w:val="3"/>
        </w:numPr>
        <w:kinsoku/>
        <w:wordWrap/>
        <w:overflowPunct/>
        <w:topLinePunct w:val="0"/>
        <w:bidi w:val="0"/>
        <w:spacing w:line="360" w:lineRule="auto"/>
        <w:ind w:firstLine="480" w:firstLineChars="200"/>
        <w:textAlignment w:val="auto"/>
        <w:rPr>
          <w:rFonts w:ascii="宋体" w:hAnsi="宋体" w:eastAsia="宋体"/>
          <w:color w:val="000000" w:themeColor="text1"/>
          <w:kern w:val="2"/>
          <w14:textFill>
            <w14:solidFill>
              <w14:schemeClr w14:val="tx1"/>
            </w14:solidFill>
          </w14:textFill>
        </w:rPr>
      </w:pPr>
      <w:r>
        <w:rPr>
          <w:rFonts w:hint="eastAsia" w:ascii="宋体" w:hAnsi="宋体" w:eastAsia="宋体"/>
          <w:color w:val="000000" w:themeColor="text1"/>
          <w:kern w:val="2"/>
          <w14:textFill>
            <w14:solidFill>
              <w14:schemeClr w14:val="tx1"/>
            </w14:solidFill>
          </w14:textFill>
        </w:rPr>
        <w:t>本服务项目费用支付前需进行考核，多功能自助终端服务每个月考核一次，其它服务项目每3个月考核一次。</w:t>
      </w:r>
    </w:p>
    <w:p w14:paraId="55E6A378">
      <w:pPr>
        <w:pStyle w:val="2"/>
        <w:pageBreakBefore w:val="0"/>
        <w:widowControl w:val="0"/>
        <w:numPr>
          <w:ilvl w:val="0"/>
          <w:numId w:val="3"/>
        </w:numPr>
        <w:kinsoku/>
        <w:wordWrap/>
        <w:overflowPunct/>
        <w:topLinePunct w:val="0"/>
        <w:bidi w:val="0"/>
        <w:spacing w:line="360" w:lineRule="auto"/>
        <w:ind w:firstLine="480" w:firstLineChars="200"/>
        <w:textAlignment w:val="auto"/>
        <w:rPr>
          <w:rFonts w:ascii="宋体" w:hAnsi="宋体" w:eastAsia="宋体"/>
          <w:color w:val="000000" w:themeColor="text1"/>
          <w:kern w:val="2"/>
          <w14:textFill>
            <w14:solidFill>
              <w14:schemeClr w14:val="tx1"/>
            </w14:solidFill>
          </w14:textFill>
        </w:rPr>
      </w:pPr>
      <w:r>
        <w:rPr>
          <w:rFonts w:hint="eastAsia" w:ascii="宋体" w:hAnsi="宋体" w:eastAsia="宋体"/>
          <w:color w:val="000000" w:themeColor="text1"/>
          <w:kern w:val="2"/>
          <w14:textFill>
            <w14:solidFill>
              <w14:schemeClr w14:val="tx1"/>
            </w14:solidFill>
          </w14:textFill>
        </w:rPr>
        <w:t>服务期内考核得分90分（含）以上，考核合格，全额支付中标人服务期服务费用；考核得分低于90分的，以90分为基准，每低1分扣除相应服务期内维保服务费的1%，</w:t>
      </w:r>
      <w:r>
        <w:rPr>
          <w:rFonts w:hint="eastAsia" w:ascii="宋体" w:hAnsi="宋体" w:eastAsia="宋体" w:cs="宋体"/>
          <w:color w:val="000000" w:themeColor="text1"/>
          <w14:textFill>
            <w14:solidFill>
              <w14:schemeClr w14:val="tx1"/>
            </w14:solidFill>
          </w14:textFill>
        </w:rPr>
        <w:t>扣款在支付的服务款中扣除。对于甲方提出的问题未限时整改的，加倍扣分。</w:t>
      </w:r>
    </w:p>
    <w:p w14:paraId="0C1A1427">
      <w:pPr>
        <w:pStyle w:val="2"/>
        <w:spacing w:line="360" w:lineRule="auto"/>
        <w:rPr>
          <w:rFonts w:ascii="宋体" w:hAnsi="宋体" w:eastAsia="宋体" w:cs="宋体"/>
          <w:color w:val="000000" w:themeColor="text1"/>
          <w14:textFill>
            <w14:solidFill>
              <w14:schemeClr w14:val="tx1"/>
            </w14:solidFill>
          </w14:textFill>
        </w:rPr>
      </w:pPr>
    </w:p>
    <w:p w14:paraId="5F83E2AD">
      <w:pPr>
        <w:pStyle w:val="2"/>
        <w:spacing w:line="360" w:lineRule="auto"/>
        <w:jc w:val="center"/>
        <w:rPr>
          <w:rFonts w:ascii="宋体" w:hAnsi="宋体" w:eastAsia="宋体"/>
          <w:color w:val="000000" w:themeColor="text1"/>
          <w:kern w:val="2"/>
          <w14:textFill>
            <w14:solidFill>
              <w14:schemeClr w14:val="tx1"/>
            </w14:solidFill>
          </w14:textFill>
        </w:rPr>
      </w:pPr>
      <w:r>
        <w:rPr>
          <w:rFonts w:hint="eastAsia" w:ascii="宋体" w:hAnsi="宋体" w:eastAsia="宋体"/>
          <w:color w:val="000000" w:themeColor="text1"/>
          <w:kern w:val="2"/>
          <w14:textFill>
            <w14:solidFill>
              <w14:schemeClr w14:val="tx1"/>
            </w14:solidFill>
          </w14:textFill>
        </w:rPr>
        <w:t>表：服务考核表</w:t>
      </w:r>
    </w:p>
    <w:tbl>
      <w:tblPr>
        <w:tblStyle w:val="14"/>
        <w:tblW w:w="8320" w:type="dxa"/>
        <w:tblInd w:w="2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0"/>
        <w:gridCol w:w="1560"/>
        <w:gridCol w:w="3640"/>
        <w:gridCol w:w="1170"/>
        <w:gridCol w:w="1040"/>
      </w:tblGrid>
      <w:tr w14:paraId="13B80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910" w:type="dxa"/>
            <w:tcBorders>
              <w:top w:val="single" w:color="000000" w:sz="4" w:space="0"/>
              <w:left w:val="single" w:color="000000" w:sz="4" w:space="0"/>
              <w:bottom w:val="single" w:color="000000" w:sz="4" w:space="0"/>
              <w:right w:val="single" w:color="000000" w:sz="4" w:space="0"/>
            </w:tcBorders>
            <w:vAlign w:val="center"/>
          </w:tcPr>
          <w:p w14:paraId="619BDDC3">
            <w:pPr>
              <w:pStyle w:val="28"/>
              <w:spacing w:before="100" w:beforeAutospacing="1" w:after="100" w:afterAutospacing="1"/>
              <w:jc w:val="center"/>
              <w:rPr>
                <w:rStyle w:val="27"/>
                <w:b/>
                <w:color w:val="000000" w:themeColor="text1"/>
                <w:szCs w:val="21"/>
                <w14:textFill>
                  <w14:solidFill>
                    <w14:schemeClr w14:val="tx1"/>
                  </w14:solidFill>
                </w14:textFill>
              </w:rPr>
            </w:pPr>
            <w:r>
              <w:rPr>
                <w:rStyle w:val="27"/>
                <w:b/>
                <w:color w:val="000000" w:themeColor="text1"/>
                <w:szCs w:val="21"/>
                <w14:textFill>
                  <w14:solidFill>
                    <w14:schemeClr w14:val="tx1"/>
                  </w14:solidFill>
                </w14:textFill>
              </w:rPr>
              <w:t>序号</w:t>
            </w:r>
          </w:p>
        </w:tc>
        <w:tc>
          <w:tcPr>
            <w:tcW w:w="1560" w:type="dxa"/>
            <w:tcBorders>
              <w:top w:val="single" w:color="000000" w:sz="4" w:space="0"/>
              <w:left w:val="single" w:color="000000" w:sz="4" w:space="0"/>
              <w:bottom w:val="single" w:color="000000" w:sz="4" w:space="0"/>
              <w:right w:val="single" w:color="000000" w:sz="4" w:space="0"/>
            </w:tcBorders>
            <w:vAlign w:val="center"/>
          </w:tcPr>
          <w:p w14:paraId="339776A7">
            <w:pPr>
              <w:pStyle w:val="28"/>
              <w:spacing w:before="100" w:beforeAutospacing="1" w:after="100" w:afterAutospacing="1"/>
              <w:jc w:val="center"/>
              <w:rPr>
                <w:rStyle w:val="27"/>
                <w:b/>
                <w:color w:val="000000" w:themeColor="text1"/>
                <w:szCs w:val="21"/>
                <w14:textFill>
                  <w14:solidFill>
                    <w14:schemeClr w14:val="tx1"/>
                  </w14:solidFill>
                </w14:textFill>
              </w:rPr>
            </w:pPr>
            <w:r>
              <w:rPr>
                <w:rStyle w:val="27"/>
                <w:b/>
                <w:color w:val="000000" w:themeColor="text1"/>
                <w:szCs w:val="21"/>
                <w14:textFill>
                  <w14:solidFill>
                    <w14:schemeClr w14:val="tx1"/>
                  </w14:solidFill>
                </w14:textFill>
              </w:rPr>
              <w:t>服务项目</w:t>
            </w:r>
          </w:p>
        </w:tc>
        <w:tc>
          <w:tcPr>
            <w:tcW w:w="3640" w:type="dxa"/>
            <w:tcBorders>
              <w:top w:val="single" w:color="000000" w:sz="4" w:space="0"/>
              <w:left w:val="single" w:color="000000" w:sz="4" w:space="0"/>
              <w:bottom w:val="single" w:color="000000" w:sz="4" w:space="0"/>
              <w:right w:val="single" w:color="000000" w:sz="4" w:space="0"/>
            </w:tcBorders>
            <w:vAlign w:val="center"/>
          </w:tcPr>
          <w:p w14:paraId="54AFC553">
            <w:pPr>
              <w:pStyle w:val="28"/>
              <w:spacing w:before="100" w:beforeAutospacing="1" w:after="100" w:afterAutospacing="1"/>
              <w:jc w:val="center"/>
              <w:rPr>
                <w:rStyle w:val="27"/>
                <w:b/>
                <w:color w:val="000000" w:themeColor="text1"/>
                <w:szCs w:val="21"/>
                <w14:textFill>
                  <w14:solidFill>
                    <w14:schemeClr w14:val="tx1"/>
                  </w14:solidFill>
                </w14:textFill>
              </w:rPr>
            </w:pPr>
            <w:r>
              <w:rPr>
                <w:rStyle w:val="27"/>
                <w:b/>
                <w:color w:val="000000" w:themeColor="text1"/>
                <w:szCs w:val="21"/>
                <w14:textFill>
                  <w14:solidFill>
                    <w14:schemeClr w14:val="tx1"/>
                  </w14:solidFill>
                </w14:textFill>
              </w:rPr>
              <w:t>具体内容</w:t>
            </w:r>
          </w:p>
        </w:tc>
        <w:tc>
          <w:tcPr>
            <w:tcW w:w="1170" w:type="dxa"/>
            <w:tcBorders>
              <w:top w:val="single" w:color="000000" w:sz="4" w:space="0"/>
              <w:left w:val="single" w:color="000000" w:sz="4" w:space="0"/>
              <w:bottom w:val="single" w:color="000000" w:sz="4" w:space="0"/>
              <w:right w:val="single" w:color="000000" w:sz="4" w:space="0"/>
            </w:tcBorders>
            <w:vAlign w:val="center"/>
          </w:tcPr>
          <w:p w14:paraId="7631E720">
            <w:pPr>
              <w:pStyle w:val="28"/>
              <w:spacing w:before="100" w:beforeAutospacing="1" w:after="100" w:afterAutospacing="1"/>
              <w:jc w:val="center"/>
              <w:rPr>
                <w:rStyle w:val="27"/>
                <w:b/>
                <w:color w:val="000000" w:themeColor="text1"/>
                <w:szCs w:val="21"/>
                <w14:textFill>
                  <w14:solidFill>
                    <w14:schemeClr w14:val="tx1"/>
                  </w14:solidFill>
                </w14:textFill>
              </w:rPr>
            </w:pPr>
            <w:r>
              <w:rPr>
                <w:rStyle w:val="27"/>
                <w:b/>
                <w:color w:val="000000" w:themeColor="text1"/>
                <w:szCs w:val="21"/>
                <w14:textFill>
                  <w14:solidFill>
                    <w14:schemeClr w14:val="tx1"/>
                  </w14:solidFill>
                </w14:textFill>
              </w:rPr>
              <w:t>权重</w:t>
            </w:r>
          </w:p>
        </w:tc>
        <w:tc>
          <w:tcPr>
            <w:tcW w:w="1040" w:type="dxa"/>
            <w:tcBorders>
              <w:top w:val="single" w:color="000000" w:sz="4" w:space="0"/>
              <w:left w:val="single" w:color="000000" w:sz="4" w:space="0"/>
              <w:bottom w:val="single" w:color="000000" w:sz="4" w:space="0"/>
              <w:right w:val="single" w:color="000000" w:sz="4" w:space="0"/>
            </w:tcBorders>
            <w:vAlign w:val="center"/>
          </w:tcPr>
          <w:p w14:paraId="737CBEFE">
            <w:pPr>
              <w:pStyle w:val="28"/>
              <w:spacing w:before="100" w:beforeAutospacing="1" w:after="100" w:afterAutospacing="1"/>
              <w:jc w:val="center"/>
              <w:rPr>
                <w:rStyle w:val="27"/>
                <w:b/>
                <w:color w:val="000000" w:themeColor="text1"/>
                <w:szCs w:val="21"/>
                <w14:textFill>
                  <w14:solidFill>
                    <w14:schemeClr w14:val="tx1"/>
                  </w14:solidFill>
                </w14:textFill>
              </w:rPr>
            </w:pPr>
            <w:r>
              <w:rPr>
                <w:rStyle w:val="27"/>
                <w:b/>
                <w:color w:val="000000" w:themeColor="text1"/>
                <w:szCs w:val="21"/>
                <w14:textFill>
                  <w14:solidFill>
                    <w14:schemeClr w14:val="tx1"/>
                  </w14:solidFill>
                </w14:textFill>
              </w:rPr>
              <w:t>得分</w:t>
            </w:r>
          </w:p>
        </w:tc>
      </w:tr>
      <w:tr w14:paraId="6BA97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910" w:type="dxa"/>
            <w:vMerge w:val="restart"/>
            <w:tcBorders>
              <w:top w:val="single" w:color="000000" w:sz="4" w:space="0"/>
              <w:left w:val="single" w:color="000000" w:sz="4" w:space="0"/>
              <w:bottom w:val="single" w:color="000000" w:sz="4" w:space="0"/>
              <w:right w:val="single" w:color="000000" w:sz="4" w:space="0"/>
            </w:tcBorders>
            <w:vAlign w:val="center"/>
          </w:tcPr>
          <w:p w14:paraId="15E1B37D">
            <w:pPr>
              <w:pStyle w:val="28"/>
              <w:spacing w:before="100" w:beforeAutospacing="1" w:after="100" w:afterAutospacing="1"/>
              <w:jc w:val="center"/>
              <w:rPr>
                <w:rStyle w:val="27"/>
                <w:color w:val="000000" w:themeColor="text1"/>
                <w:szCs w:val="21"/>
                <w14:textFill>
                  <w14:solidFill>
                    <w14:schemeClr w14:val="tx1"/>
                  </w14:solidFill>
                </w14:textFill>
              </w:rPr>
            </w:pPr>
            <w:r>
              <w:rPr>
                <w:rStyle w:val="27"/>
                <w:color w:val="000000" w:themeColor="text1"/>
                <w:szCs w:val="21"/>
                <w14:textFill>
                  <w14:solidFill>
                    <w14:schemeClr w14:val="tx1"/>
                  </w14:solidFill>
                </w14:textFill>
              </w:rPr>
              <w:t>1</w:t>
            </w:r>
          </w:p>
        </w:tc>
        <w:tc>
          <w:tcPr>
            <w:tcW w:w="1560" w:type="dxa"/>
            <w:vMerge w:val="restart"/>
            <w:tcBorders>
              <w:top w:val="single" w:color="000000" w:sz="4" w:space="0"/>
              <w:left w:val="single" w:color="000000" w:sz="4" w:space="0"/>
              <w:bottom w:val="single" w:color="000000" w:sz="4" w:space="0"/>
              <w:right w:val="single" w:color="000000" w:sz="4" w:space="0"/>
            </w:tcBorders>
            <w:vAlign w:val="center"/>
          </w:tcPr>
          <w:p w14:paraId="0EAF73B7">
            <w:pPr>
              <w:pStyle w:val="28"/>
              <w:spacing w:before="100" w:beforeAutospacing="1" w:after="100" w:afterAutospacing="1"/>
              <w:jc w:val="center"/>
              <w:rPr>
                <w:rStyle w:val="27"/>
                <w:color w:val="000000" w:themeColor="text1"/>
                <w:szCs w:val="21"/>
                <w14:textFill>
                  <w14:solidFill>
                    <w14:schemeClr w14:val="tx1"/>
                  </w14:solidFill>
                </w14:textFill>
              </w:rPr>
            </w:pPr>
            <w:r>
              <w:rPr>
                <w:rStyle w:val="27"/>
                <w:rFonts w:hint="eastAsia"/>
                <w:color w:val="000000" w:themeColor="text1"/>
                <w:szCs w:val="21"/>
                <w14:textFill>
                  <w14:solidFill>
                    <w14:schemeClr w14:val="tx1"/>
                  </w14:solidFill>
                </w14:textFill>
              </w:rPr>
              <w:t>定期</w:t>
            </w:r>
            <w:r>
              <w:rPr>
                <w:rStyle w:val="27"/>
                <w:color w:val="000000" w:themeColor="text1"/>
                <w:szCs w:val="21"/>
                <w14:textFill>
                  <w14:solidFill>
                    <w14:schemeClr w14:val="tx1"/>
                  </w14:solidFill>
                </w14:textFill>
              </w:rPr>
              <w:t>巡检</w:t>
            </w:r>
          </w:p>
        </w:tc>
        <w:tc>
          <w:tcPr>
            <w:tcW w:w="3640" w:type="dxa"/>
            <w:tcBorders>
              <w:top w:val="single" w:color="000000" w:sz="4" w:space="0"/>
              <w:left w:val="single" w:color="000000" w:sz="4" w:space="0"/>
              <w:bottom w:val="single" w:color="000000" w:sz="4" w:space="0"/>
              <w:right w:val="single" w:color="000000" w:sz="4" w:space="0"/>
            </w:tcBorders>
            <w:vAlign w:val="center"/>
          </w:tcPr>
          <w:p w14:paraId="7BF6FAE2">
            <w:pPr>
              <w:pStyle w:val="28"/>
              <w:spacing w:before="100" w:beforeAutospacing="1" w:after="100" w:afterAutospacing="1"/>
              <w:jc w:val="center"/>
              <w:rPr>
                <w:rStyle w:val="27"/>
                <w:color w:val="000000" w:themeColor="text1"/>
                <w:szCs w:val="21"/>
                <w14:textFill>
                  <w14:solidFill>
                    <w14:schemeClr w14:val="tx1"/>
                  </w14:solidFill>
                </w14:textFill>
              </w:rPr>
            </w:pPr>
            <w:r>
              <w:rPr>
                <w:rStyle w:val="27"/>
                <w:color w:val="000000" w:themeColor="text1"/>
                <w:szCs w:val="21"/>
                <w14:textFill>
                  <w14:solidFill>
                    <w14:schemeClr w14:val="tx1"/>
                  </w14:solidFill>
                </w14:textFill>
              </w:rPr>
              <w:t>巡检计划执行情况（10分）</w:t>
            </w:r>
          </w:p>
        </w:tc>
        <w:tc>
          <w:tcPr>
            <w:tcW w:w="1170" w:type="dxa"/>
            <w:vMerge w:val="restart"/>
            <w:tcBorders>
              <w:top w:val="single" w:color="000000" w:sz="4" w:space="0"/>
              <w:left w:val="single" w:color="000000" w:sz="4" w:space="0"/>
              <w:bottom w:val="single" w:color="000000" w:sz="4" w:space="0"/>
              <w:right w:val="single" w:color="000000" w:sz="4" w:space="0"/>
            </w:tcBorders>
            <w:vAlign w:val="center"/>
          </w:tcPr>
          <w:p w14:paraId="4D03B446">
            <w:pPr>
              <w:pStyle w:val="28"/>
              <w:spacing w:before="100" w:beforeAutospacing="1" w:after="100" w:afterAutospacing="1"/>
              <w:jc w:val="center"/>
              <w:rPr>
                <w:rStyle w:val="27"/>
                <w:color w:val="000000" w:themeColor="text1"/>
                <w:szCs w:val="21"/>
                <w14:textFill>
                  <w14:solidFill>
                    <w14:schemeClr w14:val="tx1"/>
                  </w14:solidFill>
                </w14:textFill>
              </w:rPr>
            </w:pPr>
            <w:r>
              <w:rPr>
                <w:rStyle w:val="27"/>
                <w:color w:val="000000" w:themeColor="text1"/>
                <w:szCs w:val="21"/>
                <w14:textFill>
                  <w14:solidFill>
                    <w14:schemeClr w14:val="tx1"/>
                  </w14:solidFill>
                </w14:textFill>
              </w:rPr>
              <w:t>20分</w:t>
            </w:r>
          </w:p>
        </w:tc>
        <w:tc>
          <w:tcPr>
            <w:tcW w:w="1040" w:type="dxa"/>
            <w:tcBorders>
              <w:top w:val="single" w:color="000000" w:sz="4" w:space="0"/>
              <w:left w:val="single" w:color="000000" w:sz="4" w:space="0"/>
              <w:bottom w:val="single" w:color="000000" w:sz="4" w:space="0"/>
              <w:right w:val="single" w:color="000000" w:sz="4" w:space="0"/>
            </w:tcBorders>
            <w:vAlign w:val="center"/>
          </w:tcPr>
          <w:p w14:paraId="2227CB28">
            <w:pPr>
              <w:pStyle w:val="28"/>
              <w:spacing w:before="100" w:beforeAutospacing="1" w:after="100" w:afterAutospacing="1"/>
              <w:jc w:val="center"/>
              <w:rPr>
                <w:rStyle w:val="27"/>
                <w:color w:val="000000" w:themeColor="text1"/>
                <w:szCs w:val="21"/>
                <w14:textFill>
                  <w14:solidFill>
                    <w14:schemeClr w14:val="tx1"/>
                  </w14:solidFill>
                </w14:textFill>
              </w:rPr>
            </w:pPr>
          </w:p>
        </w:tc>
      </w:tr>
      <w:tr w14:paraId="491BC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910" w:type="dxa"/>
            <w:vMerge w:val="continue"/>
            <w:tcBorders>
              <w:top w:val="nil"/>
              <w:left w:val="single" w:color="000000" w:sz="4" w:space="0"/>
              <w:bottom w:val="single" w:color="000000" w:sz="4" w:space="0"/>
              <w:right w:val="single" w:color="000000" w:sz="4" w:space="0"/>
            </w:tcBorders>
            <w:vAlign w:val="center"/>
          </w:tcPr>
          <w:p w14:paraId="601337DE">
            <w:pPr>
              <w:widowControl/>
              <w:spacing w:before="100" w:beforeAutospacing="1" w:after="100" w:afterAutospacing="1"/>
              <w:jc w:val="center"/>
              <w:textAlignment w:val="baseline"/>
              <w:rPr>
                <w:rStyle w:val="27"/>
                <w:rFonts w:ascii="宋体" w:hAnsi="宋体"/>
                <w:color w:val="000000" w:themeColor="text1"/>
                <w:szCs w:val="21"/>
                <w14:textFill>
                  <w14:solidFill>
                    <w14:schemeClr w14:val="tx1"/>
                  </w14:solidFill>
                </w14:textFill>
              </w:rPr>
            </w:pPr>
          </w:p>
        </w:tc>
        <w:tc>
          <w:tcPr>
            <w:tcW w:w="1560" w:type="dxa"/>
            <w:vMerge w:val="continue"/>
            <w:tcBorders>
              <w:top w:val="nil"/>
              <w:left w:val="single" w:color="000000" w:sz="4" w:space="0"/>
              <w:bottom w:val="single" w:color="000000" w:sz="4" w:space="0"/>
              <w:right w:val="single" w:color="000000" w:sz="4" w:space="0"/>
            </w:tcBorders>
            <w:vAlign w:val="center"/>
          </w:tcPr>
          <w:p w14:paraId="5C533702">
            <w:pPr>
              <w:widowControl/>
              <w:spacing w:before="100" w:beforeAutospacing="1" w:after="100" w:afterAutospacing="1"/>
              <w:jc w:val="center"/>
              <w:textAlignment w:val="baseline"/>
              <w:rPr>
                <w:rStyle w:val="27"/>
                <w:rFonts w:ascii="宋体" w:hAnsi="宋体"/>
                <w:color w:val="000000" w:themeColor="text1"/>
                <w:szCs w:val="21"/>
                <w14:textFill>
                  <w14:solidFill>
                    <w14:schemeClr w14:val="tx1"/>
                  </w14:solidFill>
                </w14:textFill>
              </w:rPr>
            </w:pPr>
          </w:p>
        </w:tc>
        <w:tc>
          <w:tcPr>
            <w:tcW w:w="3640" w:type="dxa"/>
            <w:tcBorders>
              <w:top w:val="single" w:color="000000" w:sz="4" w:space="0"/>
              <w:left w:val="single" w:color="000000" w:sz="4" w:space="0"/>
              <w:bottom w:val="single" w:color="000000" w:sz="4" w:space="0"/>
              <w:right w:val="single" w:color="000000" w:sz="4" w:space="0"/>
            </w:tcBorders>
            <w:vAlign w:val="center"/>
          </w:tcPr>
          <w:p w14:paraId="7F722F20">
            <w:pPr>
              <w:pStyle w:val="28"/>
              <w:spacing w:before="100" w:beforeAutospacing="1" w:after="100" w:afterAutospacing="1"/>
              <w:jc w:val="center"/>
              <w:rPr>
                <w:rStyle w:val="27"/>
                <w:color w:val="000000" w:themeColor="text1"/>
                <w:szCs w:val="21"/>
                <w14:textFill>
                  <w14:solidFill>
                    <w14:schemeClr w14:val="tx1"/>
                  </w14:solidFill>
                </w14:textFill>
              </w:rPr>
            </w:pPr>
            <w:r>
              <w:rPr>
                <w:rStyle w:val="27"/>
                <w:color w:val="000000" w:themeColor="text1"/>
                <w:szCs w:val="21"/>
                <w14:textFill>
                  <w14:solidFill>
                    <w14:schemeClr w14:val="tx1"/>
                  </w14:solidFill>
                </w14:textFill>
              </w:rPr>
              <w:t>巡检范围及内容完整性（10分）</w:t>
            </w:r>
          </w:p>
        </w:tc>
        <w:tc>
          <w:tcPr>
            <w:tcW w:w="1170" w:type="dxa"/>
            <w:vMerge w:val="continue"/>
            <w:tcBorders>
              <w:top w:val="nil"/>
              <w:left w:val="single" w:color="000000" w:sz="4" w:space="0"/>
              <w:bottom w:val="single" w:color="000000" w:sz="4" w:space="0"/>
              <w:right w:val="single" w:color="000000" w:sz="4" w:space="0"/>
            </w:tcBorders>
            <w:vAlign w:val="center"/>
          </w:tcPr>
          <w:p w14:paraId="5A86D1F0">
            <w:pPr>
              <w:widowControl/>
              <w:spacing w:before="100" w:beforeAutospacing="1" w:after="100" w:afterAutospacing="1"/>
              <w:jc w:val="center"/>
              <w:textAlignment w:val="baseline"/>
              <w:rPr>
                <w:rStyle w:val="27"/>
                <w:rFonts w:ascii="宋体" w:hAnsi="宋体"/>
                <w:color w:val="000000" w:themeColor="text1"/>
                <w:szCs w:val="21"/>
                <w14:textFill>
                  <w14:solidFill>
                    <w14:schemeClr w14:val="tx1"/>
                  </w14:solidFill>
                </w14:textFill>
              </w:rPr>
            </w:pPr>
          </w:p>
        </w:tc>
        <w:tc>
          <w:tcPr>
            <w:tcW w:w="1040" w:type="dxa"/>
            <w:tcBorders>
              <w:top w:val="single" w:color="000000" w:sz="4" w:space="0"/>
              <w:left w:val="single" w:color="000000" w:sz="4" w:space="0"/>
              <w:bottom w:val="single" w:color="000000" w:sz="4" w:space="0"/>
              <w:right w:val="single" w:color="000000" w:sz="4" w:space="0"/>
            </w:tcBorders>
            <w:vAlign w:val="center"/>
          </w:tcPr>
          <w:p w14:paraId="0130D303">
            <w:pPr>
              <w:pStyle w:val="28"/>
              <w:spacing w:before="100" w:beforeAutospacing="1" w:after="100" w:afterAutospacing="1"/>
              <w:jc w:val="center"/>
              <w:rPr>
                <w:rStyle w:val="27"/>
                <w:color w:val="000000" w:themeColor="text1"/>
                <w:szCs w:val="21"/>
                <w14:textFill>
                  <w14:solidFill>
                    <w14:schemeClr w14:val="tx1"/>
                  </w14:solidFill>
                </w14:textFill>
              </w:rPr>
            </w:pPr>
          </w:p>
        </w:tc>
      </w:tr>
      <w:tr w14:paraId="2F59C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910" w:type="dxa"/>
            <w:vMerge w:val="restart"/>
            <w:tcBorders>
              <w:top w:val="single" w:color="000000" w:sz="4" w:space="0"/>
              <w:left w:val="single" w:color="000000" w:sz="4" w:space="0"/>
              <w:bottom w:val="single" w:color="000000" w:sz="4" w:space="0"/>
              <w:right w:val="single" w:color="000000" w:sz="4" w:space="0"/>
            </w:tcBorders>
            <w:vAlign w:val="center"/>
          </w:tcPr>
          <w:p w14:paraId="48A1BCC2">
            <w:pPr>
              <w:pStyle w:val="28"/>
              <w:spacing w:before="100" w:beforeAutospacing="1" w:after="100" w:afterAutospacing="1"/>
              <w:jc w:val="center"/>
              <w:rPr>
                <w:rStyle w:val="27"/>
                <w:color w:val="000000" w:themeColor="text1"/>
                <w:szCs w:val="21"/>
                <w14:textFill>
                  <w14:solidFill>
                    <w14:schemeClr w14:val="tx1"/>
                  </w14:solidFill>
                </w14:textFill>
              </w:rPr>
            </w:pPr>
            <w:r>
              <w:rPr>
                <w:rStyle w:val="27"/>
                <w:color w:val="000000" w:themeColor="text1"/>
                <w:szCs w:val="21"/>
                <w14:textFill>
                  <w14:solidFill>
                    <w14:schemeClr w14:val="tx1"/>
                  </w14:solidFill>
                </w14:textFill>
              </w:rPr>
              <w:t>2</w:t>
            </w:r>
          </w:p>
        </w:tc>
        <w:tc>
          <w:tcPr>
            <w:tcW w:w="1560" w:type="dxa"/>
            <w:vMerge w:val="restart"/>
            <w:tcBorders>
              <w:top w:val="single" w:color="000000" w:sz="4" w:space="0"/>
              <w:left w:val="single" w:color="000000" w:sz="4" w:space="0"/>
              <w:bottom w:val="single" w:color="000000" w:sz="4" w:space="0"/>
              <w:right w:val="single" w:color="000000" w:sz="4" w:space="0"/>
            </w:tcBorders>
            <w:vAlign w:val="center"/>
          </w:tcPr>
          <w:p w14:paraId="7FD32DF9">
            <w:pPr>
              <w:pStyle w:val="28"/>
              <w:spacing w:before="100" w:beforeAutospacing="1" w:after="100" w:afterAutospacing="1"/>
              <w:jc w:val="center"/>
              <w:rPr>
                <w:rStyle w:val="27"/>
                <w:color w:val="000000" w:themeColor="text1"/>
                <w:szCs w:val="21"/>
                <w14:textFill>
                  <w14:solidFill>
                    <w14:schemeClr w14:val="tx1"/>
                  </w14:solidFill>
                </w14:textFill>
              </w:rPr>
            </w:pPr>
            <w:r>
              <w:rPr>
                <w:rStyle w:val="27"/>
                <w:color w:val="000000" w:themeColor="text1"/>
                <w:szCs w:val="21"/>
                <w14:textFill>
                  <w14:solidFill>
                    <w14:schemeClr w14:val="tx1"/>
                  </w14:solidFill>
                </w14:textFill>
              </w:rPr>
              <w:t>基础保障</w:t>
            </w:r>
          </w:p>
        </w:tc>
        <w:tc>
          <w:tcPr>
            <w:tcW w:w="3640" w:type="dxa"/>
            <w:tcBorders>
              <w:top w:val="single" w:color="000000" w:sz="4" w:space="0"/>
              <w:left w:val="single" w:color="000000" w:sz="4" w:space="0"/>
              <w:bottom w:val="single" w:color="000000" w:sz="4" w:space="0"/>
              <w:right w:val="single" w:color="000000" w:sz="4" w:space="0"/>
            </w:tcBorders>
            <w:vAlign w:val="center"/>
          </w:tcPr>
          <w:p w14:paraId="63979EF1">
            <w:pPr>
              <w:pStyle w:val="28"/>
              <w:spacing w:before="100" w:beforeAutospacing="1" w:after="100" w:afterAutospacing="1"/>
              <w:jc w:val="center"/>
              <w:rPr>
                <w:rStyle w:val="27"/>
                <w:color w:val="000000" w:themeColor="text1"/>
                <w:szCs w:val="21"/>
                <w14:textFill>
                  <w14:solidFill>
                    <w14:schemeClr w14:val="tx1"/>
                  </w14:solidFill>
                </w14:textFill>
              </w:rPr>
            </w:pPr>
            <w:r>
              <w:rPr>
                <w:rStyle w:val="27"/>
                <w:color w:val="000000" w:themeColor="text1"/>
                <w:szCs w:val="21"/>
                <w14:textFill>
                  <w14:solidFill>
                    <w14:schemeClr w14:val="tx1"/>
                  </w14:solidFill>
                </w14:textFill>
              </w:rPr>
              <w:t>主动性保障（15分）</w:t>
            </w:r>
          </w:p>
        </w:tc>
        <w:tc>
          <w:tcPr>
            <w:tcW w:w="1170" w:type="dxa"/>
            <w:vMerge w:val="restart"/>
            <w:tcBorders>
              <w:top w:val="single" w:color="000000" w:sz="4" w:space="0"/>
              <w:left w:val="single" w:color="000000" w:sz="4" w:space="0"/>
              <w:bottom w:val="single" w:color="000000" w:sz="4" w:space="0"/>
              <w:right w:val="single" w:color="000000" w:sz="4" w:space="0"/>
            </w:tcBorders>
            <w:vAlign w:val="center"/>
          </w:tcPr>
          <w:p w14:paraId="4AB97C8F">
            <w:pPr>
              <w:pStyle w:val="28"/>
              <w:spacing w:before="100" w:beforeAutospacing="1" w:after="100" w:afterAutospacing="1"/>
              <w:jc w:val="center"/>
              <w:rPr>
                <w:rStyle w:val="27"/>
                <w:color w:val="000000" w:themeColor="text1"/>
                <w:szCs w:val="21"/>
                <w14:textFill>
                  <w14:solidFill>
                    <w14:schemeClr w14:val="tx1"/>
                  </w14:solidFill>
                </w14:textFill>
              </w:rPr>
            </w:pPr>
            <w:r>
              <w:rPr>
                <w:rStyle w:val="27"/>
                <w:color w:val="000000" w:themeColor="text1"/>
                <w:szCs w:val="21"/>
                <w14:textFill>
                  <w14:solidFill>
                    <w14:schemeClr w14:val="tx1"/>
                  </w14:solidFill>
                </w14:textFill>
              </w:rPr>
              <w:t>45分</w:t>
            </w:r>
          </w:p>
        </w:tc>
        <w:tc>
          <w:tcPr>
            <w:tcW w:w="1040" w:type="dxa"/>
            <w:tcBorders>
              <w:top w:val="single" w:color="000000" w:sz="4" w:space="0"/>
              <w:left w:val="single" w:color="000000" w:sz="4" w:space="0"/>
              <w:bottom w:val="single" w:color="000000" w:sz="4" w:space="0"/>
              <w:right w:val="single" w:color="000000" w:sz="4" w:space="0"/>
            </w:tcBorders>
            <w:vAlign w:val="center"/>
          </w:tcPr>
          <w:p w14:paraId="48EC6133">
            <w:pPr>
              <w:pStyle w:val="28"/>
              <w:spacing w:before="100" w:beforeAutospacing="1" w:after="100" w:afterAutospacing="1"/>
              <w:jc w:val="center"/>
              <w:rPr>
                <w:rStyle w:val="27"/>
                <w:color w:val="000000" w:themeColor="text1"/>
                <w:szCs w:val="21"/>
                <w14:textFill>
                  <w14:solidFill>
                    <w14:schemeClr w14:val="tx1"/>
                  </w14:solidFill>
                </w14:textFill>
              </w:rPr>
            </w:pPr>
          </w:p>
        </w:tc>
      </w:tr>
      <w:tr w14:paraId="7E244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910" w:type="dxa"/>
            <w:vMerge w:val="continue"/>
            <w:tcBorders>
              <w:top w:val="nil"/>
              <w:left w:val="single" w:color="000000" w:sz="4" w:space="0"/>
              <w:bottom w:val="single" w:color="000000" w:sz="4" w:space="0"/>
              <w:right w:val="single" w:color="000000" w:sz="4" w:space="0"/>
            </w:tcBorders>
            <w:vAlign w:val="center"/>
          </w:tcPr>
          <w:p w14:paraId="223082E8">
            <w:pPr>
              <w:widowControl/>
              <w:spacing w:before="100" w:beforeAutospacing="1" w:after="100" w:afterAutospacing="1"/>
              <w:jc w:val="center"/>
              <w:textAlignment w:val="baseline"/>
              <w:rPr>
                <w:rStyle w:val="27"/>
                <w:rFonts w:ascii="宋体" w:hAnsi="宋体"/>
                <w:color w:val="000000" w:themeColor="text1"/>
                <w:szCs w:val="21"/>
                <w14:textFill>
                  <w14:solidFill>
                    <w14:schemeClr w14:val="tx1"/>
                  </w14:solidFill>
                </w14:textFill>
              </w:rPr>
            </w:pPr>
          </w:p>
        </w:tc>
        <w:tc>
          <w:tcPr>
            <w:tcW w:w="1560" w:type="dxa"/>
            <w:vMerge w:val="continue"/>
            <w:tcBorders>
              <w:top w:val="nil"/>
              <w:left w:val="single" w:color="000000" w:sz="4" w:space="0"/>
              <w:bottom w:val="single" w:color="000000" w:sz="4" w:space="0"/>
              <w:right w:val="single" w:color="000000" w:sz="4" w:space="0"/>
            </w:tcBorders>
            <w:vAlign w:val="center"/>
          </w:tcPr>
          <w:p w14:paraId="3A1AC2D7">
            <w:pPr>
              <w:widowControl/>
              <w:spacing w:before="100" w:beforeAutospacing="1" w:after="100" w:afterAutospacing="1"/>
              <w:jc w:val="center"/>
              <w:textAlignment w:val="baseline"/>
              <w:rPr>
                <w:rStyle w:val="27"/>
                <w:rFonts w:ascii="宋体" w:hAnsi="宋体"/>
                <w:color w:val="000000" w:themeColor="text1"/>
                <w:szCs w:val="21"/>
                <w14:textFill>
                  <w14:solidFill>
                    <w14:schemeClr w14:val="tx1"/>
                  </w14:solidFill>
                </w14:textFill>
              </w:rPr>
            </w:pPr>
          </w:p>
        </w:tc>
        <w:tc>
          <w:tcPr>
            <w:tcW w:w="3640" w:type="dxa"/>
            <w:tcBorders>
              <w:top w:val="single" w:color="000000" w:sz="4" w:space="0"/>
              <w:left w:val="single" w:color="000000" w:sz="4" w:space="0"/>
              <w:bottom w:val="single" w:color="000000" w:sz="4" w:space="0"/>
              <w:right w:val="single" w:color="000000" w:sz="4" w:space="0"/>
            </w:tcBorders>
            <w:vAlign w:val="center"/>
          </w:tcPr>
          <w:p w14:paraId="2FB193AA">
            <w:pPr>
              <w:pStyle w:val="28"/>
              <w:spacing w:before="100" w:beforeAutospacing="1" w:after="100" w:afterAutospacing="1"/>
              <w:jc w:val="center"/>
              <w:rPr>
                <w:rStyle w:val="27"/>
                <w:color w:val="000000" w:themeColor="text1"/>
                <w:szCs w:val="21"/>
                <w14:textFill>
                  <w14:solidFill>
                    <w14:schemeClr w14:val="tx1"/>
                  </w14:solidFill>
                </w14:textFill>
              </w:rPr>
            </w:pPr>
            <w:r>
              <w:rPr>
                <w:rStyle w:val="27"/>
                <w:color w:val="000000" w:themeColor="text1"/>
                <w:szCs w:val="21"/>
                <w14:textFill>
                  <w14:solidFill>
                    <w14:schemeClr w14:val="tx1"/>
                  </w14:solidFill>
                </w14:textFill>
              </w:rPr>
              <w:t>故障处理能力（15分）</w:t>
            </w:r>
          </w:p>
        </w:tc>
        <w:tc>
          <w:tcPr>
            <w:tcW w:w="1170" w:type="dxa"/>
            <w:vMerge w:val="continue"/>
            <w:tcBorders>
              <w:top w:val="nil"/>
              <w:left w:val="single" w:color="000000" w:sz="4" w:space="0"/>
              <w:bottom w:val="single" w:color="000000" w:sz="4" w:space="0"/>
              <w:right w:val="single" w:color="000000" w:sz="4" w:space="0"/>
            </w:tcBorders>
            <w:vAlign w:val="center"/>
          </w:tcPr>
          <w:p w14:paraId="4A7AA744">
            <w:pPr>
              <w:widowControl/>
              <w:spacing w:before="100" w:beforeAutospacing="1" w:after="100" w:afterAutospacing="1"/>
              <w:jc w:val="center"/>
              <w:textAlignment w:val="baseline"/>
              <w:rPr>
                <w:rStyle w:val="27"/>
                <w:rFonts w:ascii="宋体" w:hAnsi="宋体"/>
                <w:color w:val="000000" w:themeColor="text1"/>
                <w:szCs w:val="21"/>
                <w14:textFill>
                  <w14:solidFill>
                    <w14:schemeClr w14:val="tx1"/>
                  </w14:solidFill>
                </w14:textFill>
              </w:rPr>
            </w:pPr>
          </w:p>
        </w:tc>
        <w:tc>
          <w:tcPr>
            <w:tcW w:w="1040" w:type="dxa"/>
            <w:tcBorders>
              <w:top w:val="single" w:color="000000" w:sz="4" w:space="0"/>
              <w:left w:val="single" w:color="000000" w:sz="4" w:space="0"/>
              <w:bottom w:val="single" w:color="000000" w:sz="4" w:space="0"/>
              <w:right w:val="single" w:color="000000" w:sz="4" w:space="0"/>
            </w:tcBorders>
            <w:vAlign w:val="center"/>
          </w:tcPr>
          <w:p w14:paraId="5E6FB29E">
            <w:pPr>
              <w:pStyle w:val="28"/>
              <w:spacing w:before="100" w:beforeAutospacing="1" w:after="100" w:afterAutospacing="1"/>
              <w:jc w:val="center"/>
              <w:rPr>
                <w:rStyle w:val="27"/>
                <w:color w:val="000000" w:themeColor="text1"/>
                <w:szCs w:val="21"/>
                <w14:textFill>
                  <w14:solidFill>
                    <w14:schemeClr w14:val="tx1"/>
                  </w14:solidFill>
                </w14:textFill>
              </w:rPr>
            </w:pPr>
          </w:p>
        </w:tc>
      </w:tr>
      <w:tr w14:paraId="387E4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910" w:type="dxa"/>
            <w:vMerge w:val="continue"/>
            <w:tcBorders>
              <w:top w:val="nil"/>
              <w:left w:val="single" w:color="000000" w:sz="4" w:space="0"/>
              <w:bottom w:val="single" w:color="000000" w:sz="4" w:space="0"/>
              <w:right w:val="single" w:color="000000" w:sz="4" w:space="0"/>
            </w:tcBorders>
            <w:vAlign w:val="center"/>
          </w:tcPr>
          <w:p w14:paraId="518C9446">
            <w:pPr>
              <w:widowControl/>
              <w:spacing w:before="100" w:beforeAutospacing="1" w:after="100" w:afterAutospacing="1"/>
              <w:jc w:val="center"/>
              <w:textAlignment w:val="baseline"/>
              <w:rPr>
                <w:rStyle w:val="27"/>
                <w:rFonts w:ascii="宋体" w:hAnsi="宋体"/>
                <w:color w:val="000000" w:themeColor="text1"/>
                <w:szCs w:val="21"/>
                <w14:textFill>
                  <w14:solidFill>
                    <w14:schemeClr w14:val="tx1"/>
                  </w14:solidFill>
                </w14:textFill>
              </w:rPr>
            </w:pPr>
          </w:p>
        </w:tc>
        <w:tc>
          <w:tcPr>
            <w:tcW w:w="1560" w:type="dxa"/>
            <w:vMerge w:val="continue"/>
            <w:tcBorders>
              <w:top w:val="nil"/>
              <w:left w:val="single" w:color="000000" w:sz="4" w:space="0"/>
              <w:bottom w:val="single" w:color="000000" w:sz="4" w:space="0"/>
              <w:right w:val="single" w:color="000000" w:sz="4" w:space="0"/>
            </w:tcBorders>
            <w:vAlign w:val="center"/>
          </w:tcPr>
          <w:p w14:paraId="1921278F">
            <w:pPr>
              <w:widowControl/>
              <w:spacing w:before="100" w:beforeAutospacing="1" w:after="100" w:afterAutospacing="1"/>
              <w:jc w:val="center"/>
              <w:textAlignment w:val="baseline"/>
              <w:rPr>
                <w:rStyle w:val="27"/>
                <w:rFonts w:ascii="宋体" w:hAnsi="宋体"/>
                <w:color w:val="000000" w:themeColor="text1"/>
                <w:szCs w:val="21"/>
                <w14:textFill>
                  <w14:solidFill>
                    <w14:schemeClr w14:val="tx1"/>
                  </w14:solidFill>
                </w14:textFill>
              </w:rPr>
            </w:pPr>
          </w:p>
        </w:tc>
        <w:tc>
          <w:tcPr>
            <w:tcW w:w="3640" w:type="dxa"/>
            <w:tcBorders>
              <w:top w:val="single" w:color="000000" w:sz="4" w:space="0"/>
              <w:left w:val="single" w:color="000000" w:sz="4" w:space="0"/>
              <w:bottom w:val="single" w:color="000000" w:sz="4" w:space="0"/>
              <w:right w:val="single" w:color="000000" w:sz="4" w:space="0"/>
            </w:tcBorders>
            <w:vAlign w:val="center"/>
          </w:tcPr>
          <w:p w14:paraId="27F76288">
            <w:pPr>
              <w:pStyle w:val="28"/>
              <w:spacing w:before="100" w:beforeAutospacing="1" w:after="100" w:afterAutospacing="1"/>
              <w:jc w:val="center"/>
              <w:rPr>
                <w:rStyle w:val="27"/>
                <w:color w:val="000000" w:themeColor="text1"/>
                <w:szCs w:val="21"/>
                <w14:textFill>
                  <w14:solidFill>
                    <w14:schemeClr w14:val="tx1"/>
                  </w14:solidFill>
                </w14:textFill>
              </w:rPr>
            </w:pPr>
            <w:r>
              <w:rPr>
                <w:rStyle w:val="27"/>
                <w:color w:val="000000" w:themeColor="text1"/>
                <w:szCs w:val="21"/>
                <w14:textFill>
                  <w14:solidFill>
                    <w14:schemeClr w14:val="tx1"/>
                  </w14:solidFill>
                </w14:textFill>
              </w:rPr>
              <w:t>系统优化能力（15分）</w:t>
            </w:r>
          </w:p>
        </w:tc>
        <w:tc>
          <w:tcPr>
            <w:tcW w:w="1170" w:type="dxa"/>
            <w:vMerge w:val="continue"/>
            <w:tcBorders>
              <w:top w:val="nil"/>
              <w:left w:val="single" w:color="000000" w:sz="4" w:space="0"/>
              <w:bottom w:val="single" w:color="000000" w:sz="4" w:space="0"/>
              <w:right w:val="single" w:color="000000" w:sz="4" w:space="0"/>
            </w:tcBorders>
            <w:vAlign w:val="center"/>
          </w:tcPr>
          <w:p w14:paraId="588BBD1E">
            <w:pPr>
              <w:widowControl/>
              <w:spacing w:before="100" w:beforeAutospacing="1" w:after="100" w:afterAutospacing="1"/>
              <w:jc w:val="center"/>
              <w:textAlignment w:val="baseline"/>
              <w:rPr>
                <w:rStyle w:val="27"/>
                <w:rFonts w:ascii="宋体" w:hAnsi="宋体"/>
                <w:color w:val="000000" w:themeColor="text1"/>
                <w:szCs w:val="21"/>
                <w14:textFill>
                  <w14:solidFill>
                    <w14:schemeClr w14:val="tx1"/>
                  </w14:solidFill>
                </w14:textFill>
              </w:rPr>
            </w:pPr>
          </w:p>
        </w:tc>
        <w:tc>
          <w:tcPr>
            <w:tcW w:w="1040" w:type="dxa"/>
            <w:tcBorders>
              <w:top w:val="single" w:color="000000" w:sz="4" w:space="0"/>
              <w:left w:val="single" w:color="000000" w:sz="4" w:space="0"/>
              <w:bottom w:val="single" w:color="000000" w:sz="4" w:space="0"/>
              <w:right w:val="single" w:color="000000" w:sz="4" w:space="0"/>
            </w:tcBorders>
            <w:vAlign w:val="center"/>
          </w:tcPr>
          <w:p w14:paraId="03E30D35">
            <w:pPr>
              <w:pStyle w:val="28"/>
              <w:spacing w:before="100" w:beforeAutospacing="1" w:after="100" w:afterAutospacing="1"/>
              <w:jc w:val="center"/>
              <w:rPr>
                <w:rStyle w:val="27"/>
                <w:color w:val="000000" w:themeColor="text1"/>
                <w:szCs w:val="21"/>
                <w14:textFill>
                  <w14:solidFill>
                    <w14:schemeClr w14:val="tx1"/>
                  </w14:solidFill>
                </w14:textFill>
              </w:rPr>
            </w:pPr>
          </w:p>
        </w:tc>
      </w:tr>
      <w:tr w14:paraId="38F6F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910" w:type="dxa"/>
            <w:vMerge w:val="restart"/>
            <w:tcBorders>
              <w:top w:val="single" w:color="000000" w:sz="4" w:space="0"/>
              <w:left w:val="single" w:color="000000" w:sz="4" w:space="0"/>
              <w:bottom w:val="single" w:color="000000" w:sz="4" w:space="0"/>
              <w:right w:val="single" w:color="000000" w:sz="4" w:space="0"/>
            </w:tcBorders>
            <w:vAlign w:val="center"/>
          </w:tcPr>
          <w:p w14:paraId="6071BC8A">
            <w:pPr>
              <w:pStyle w:val="28"/>
              <w:spacing w:before="100" w:beforeAutospacing="1" w:after="100" w:afterAutospacing="1"/>
              <w:jc w:val="center"/>
              <w:rPr>
                <w:rStyle w:val="27"/>
                <w:color w:val="000000" w:themeColor="text1"/>
                <w:szCs w:val="21"/>
                <w14:textFill>
                  <w14:solidFill>
                    <w14:schemeClr w14:val="tx1"/>
                  </w14:solidFill>
                </w14:textFill>
              </w:rPr>
            </w:pPr>
            <w:r>
              <w:rPr>
                <w:rStyle w:val="27"/>
                <w:color w:val="000000" w:themeColor="text1"/>
                <w:szCs w:val="21"/>
                <w14:textFill>
                  <w14:solidFill>
                    <w14:schemeClr w14:val="tx1"/>
                  </w14:solidFill>
                </w14:textFill>
              </w:rPr>
              <w:t>3</w:t>
            </w:r>
          </w:p>
        </w:tc>
        <w:tc>
          <w:tcPr>
            <w:tcW w:w="1560" w:type="dxa"/>
            <w:vMerge w:val="restart"/>
            <w:tcBorders>
              <w:top w:val="single" w:color="000000" w:sz="4" w:space="0"/>
              <w:left w:val="single" w:color="000000" w:sz="4" w:space="0"/>
              <w:bottom w:val="single" w:color="000000" w:sz="4" w:space="0"/>
              <w:right w:val="single" w:color="000000" w:sz="4" w:space="0"/>
            </w:tcBorders>
            <w:vAlign w:val="center"/>
          </w:tcPr>
          <w:p w14:paraId="065ADB52">
            <w:pPr>
              <w:pStyle w:val="28"/>
              <w:spacing w:before="100" w:beforeAutospacing="1" w:after="100" w:afterAutospacing="1"/>
              <w:jc w:val="center"/>
              <w:rPr>
                <w:rStyle w:val="27"/>
                <w:color w:val="000000" w:themeColor="text1"/>
                <w:szCs w:val="21"/>
                <w14:textFill>
                  <w14:solidFill>
                    <w14:schemeClr w14:val="tx1"/>
                  </w14:solidFill>
                </w14:textFill>
              </w:rPr>
            </w:pPr>
            <w:r>
              <w:rPr>
                <w:rStyle w:val="27"/>
                <w:color w:val="000000" w:themeColor="text1"/>
                <w:szCs w:val="21"/>
                <w14:textFill>
                  <w14:solidFill>
                    <w14:schemeClr w14:val="tx1"/>
                  </w14:solidFill>
                </w14:textFill>
              </w:rPr>
              <w:t>应急响应</w:t>
            </w:r>
          </w:p>
        </w:tc>
        <w:tc>
          <w:tcPr>
            <w:tcW w:w="3640" w:type="dxa"/>
            <w:tcBorders>
              <w:top w:val="single" w:color="000000" w:sz="4" w:space="0"/>
              <w:left w:val="single" w:color="000000" w:sz="4" w:space="0"/>
              <w:bottom w:val="single" w:color="000000" w:sz="4" w:space="0"/>
              <w:right w:val="single" w:color="000000" w:sz="4" w:space="0"/>
            </w:tcBorders>
            <w:vAlign w:val="center"/>
          </w:tcPr>
          <w:p w14:paraId="669C7C74">
            <w:pPr>
              <w:pStyle w:val="28"/>
              <w:spacing w:before="100" w:beforeAutospacing="1" w:after="100" w:afterAutospacing="1"/>
              <w:jc w:val="center"/>
              <w:rPr>
                <w:rStyle w:val="27"/>
                <w:color w:val="000000" w:themeColor="text1"/>
                <w:szCs w:val="21"/>
                <w14:textFill>
                  <w14:solidFill>
                    <w14:schemeClr w14:val="tx1"/>
                  </w14:solidFill>
                </w14:textFill>
              </w:rPr>
            </w:pPr>
            <w:r>
              <w:rPr>
                <w:rStyle w:val="27"/>
                <w:color w:val="000000" w:themeColor="text1"/>
                <w:szCs w:val="21"/>
                <w14:textFill>
                  <w14:solidFill>
                    <w14:schemeClr w14:val="tx1"/>
                  </w14:solidFill>
                </w14:textFill>
              </w:rPr>
              <w:t>突发事件应急响应及时性（10分）</w:t>
            </w:r>
          </w:p>
        </w:tc>
        <w:tc>
          <w:tcPr>
            <w:tcW w:w="1170" w:type="dxa"/>
            <w:vMerge w:val="restart"/>
            <w:tcBorders>
              <w:top w:val="single" w:color="000000" w:sz="4" w:space="0"/>
              <w:left w:val="single" w:color="000000" w:sz="4" w:space="0"/>
              <w:bottom w:val="single" w:color="000000" w:sz="4" w:space="0"/>
              <w:right w:val="single" w:color="000000" w:sz="4" w:space="0"/>
            </w:tcBorders>
            <w:vAlign w:val="center"/>
          </w:tcPr>
          <w:p w14:paraId="1C5F59AA">
            <w:pPr>
              <w:pStyle w:val="28"/>
              <w:spacing w:before="100" w:beforeAutospacing="1" w:after="100" w:afterAutospacing="1"/>
              <w:jc w:val="center"/>
              <w:rPr>
                <w:rStyle w:val="27"/>
                <w:color w:val="000000" w:themeColor="text1"/>
                <w:szCs w:val="21"/>
                <w14:textFill>
                  <w14:solidFill>
                    <w14:schemeClr w14:val="tx1"/>
                  </w14:solidFill>
                </w14:textFill>
              </w:rPr>
            </w:pPr>
            <w:r>
              <w:rPr>
                <w:rStyle w:val="27"/>
                <w:color w:val="000000" w:themeColor="text1"/>
                <w:szCs w:val="21"/>
                <w14:textFill>
                  <w14:solidFill>
                    <w14:schemeClr w14:val="tx1"/>
                  </w14:solidFill>
                </w14:textFill>
              </w:rPr>
              <w:t>25分</w:t>
            </w:r>
          </w:p>
        </w:tc>
        <w:tc>
          <w:tcPr>
            <w:tcW w:w="1040" w:type="dxa"/>
            <w:tcBorders>
              <w:top w:val="single" w:color="000000" w:sz="4" w:space="0"/>
              <w:left w:val="single" w:color="000000" w:sz="4" w:space="0"/>
              <w:bottom w:val="single" w:color="000000" w:sz="4" w:space="0"/>
              <w:right w:val="single" w:color="000000" w:sz="4" w:space="0"/>
            </w:tcBorders>
            <w:vAlign w:val="center"/>
          </w:tcPr>
          <w:p w14:paraId="10FF9B56">
            <w:pPr>
              <w:pStyle w:val="28"/>
              <w:spacing w:before="100" w:beforeAutospacing="1" w:after="100" w:afterAutospacing="1"/>
              <w:jc w:val="center"/>
              <w:rPr>
                <w:rStyle w:val="27"/>
                <w:color w:val="000000" w:themeColor="text1"/>
                <w:szCs w:val="21"/>
                <w14:textFill>
                  <w14:solidFill>
                    <w14:schemeClr w14:val="tx1"/>
                  </w14:solidFill>
                </w14:textFill>
              </w:rPr>
            </w:pPr>
          </w:p>
        </w:tc>
      </w:tr>
      <w:tr w14:paraId="0EE60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910" w:type="dxa"/>
            <w:vMerge w:val="continue"/>
            <w:tcBorders>
              <w:top w:val="nil"/>
              <w:left w:val="single" w:color="000000" w:sz="4" w:space="0"/>
              <w:bottom w:val="single" w:color="000000" w:sz="4" w:space="0"/>
              <w:right w:val="single" w:color="000000" w:sz="4" w:space="0"/>
            </w:tcBorders>
            <w:vAlign w:val="center"/>
          </w:tcPr>
          <w:p w14:paraId="7680AB5A">
            <w:pPr>
              <w:widowControl/>
              <w:spacing w:before="100" w:beforeAutospacing="1" w:after="100" w:afterAutospacing="1"/>
              <w:jc w:val="center"/>
              <w:textAlignment w:val="baseline"/>
              <w:rPr>
                <w:rStyle w:val="27"/>
                <w:rFonts w:ascii="宋体" w:hAnsi="宋体"/>
                <w:color w:val="000000" w:themeColor="text1"/>
                <w:szCs w:val="21"/>
                <w14:textFill>
                  <w14:solidFill>
                    <w14:schemeClr w14:val="tx1"/>
                  </w14:solidFill>
                </w14:textFill>
              </w:rPr>
            </w:pPr>
          </w:p>
        </w:tc>
        <w:tc>
          <w:tcPr>
            <w:tcW w:w="1560" w:type="dxa"/>
            <w:vMerge w:val="continue"/>
            <w:tcBorders>
              <w:top w:val="nil"/>
              <w:left w:val="single" w:color="000000" w:sz="4" w:space="0"/>
              <w:bottom w:val="single" w:color="000000" w:sz="4" w:space="0"/>
              <w:right w:val="single" w:color="000000" w:sz="4" w:space="0"/>
            </w:tcBorders>
            <w:vAlign w:val="center"/>
          </w:tcPr>
          <w:p w14:paraId="413A9AB3">
            <w:pPr>
              <w:widowControl/>
              <w:spacing w:before="100" w:beforeAutospacing="1" w:after="100" w:afterAutospacing="1"/>
              <w:jc w:val="center"/>
              <w:textAlignment w:val="baseline"/>
              <w:rPr>
                <w:rStyle w:val="27"/>
                <w:rFonts w:ascii="宋体" w:hAnsi="宋体"/>
                <w:color w:val="000000" w:themeColor="text1"/>
                <w:szCs w:val="21"/>
                <w14:textFill>
                  <w14:solidFill>
                    <w14:schemeClr w14:val="tx1"/>
                  </w14:solidFill>
                </w14:textFill>
              </w:rPr>
            </w:pPr>
          </w:p>
        </w:tc>
        <w:tc>
          <w:tcPr>
            <w:tcW w:w="3640" w:type="dxa"/>
            <w:tcBorders>
              <w:top w:val="single" w:color="000000" w:sz="4" w:space="0"/>
              <w:left w:val="single" w:color="000000" w:sz="4" w:space="0"/>
              <w:bottom w:val="single" w:color="000000" w:sz="4" w:space="0"/>
              <w:right w:val="single" w:color="000000" w:sz="4" w:space="0"/>
            </w:tcBorders>
            <w:vAlign w:val="center"/>
          </w:tcPr>
          <w:p w14:paraId="004D9A60">
            <w:pPr>
              <w:pStyle w:val="28"/>
              <w:spacing w:before="100" w:beforeAutospacing="1" w:after="100" w:afterAutospacing="1"/>
              <w:jc w:val="center"/>
              <w:rPr>
                <w:rStyle w:val="27"/>
                <w:color w:val="000000" w:themeColor="text1"/>
                <w:szCs w:val="21"/>
                <w14:textFill>
                  <w14:solidFill>
                    <w14:schemeClr w14:val="tx1"/>
                  </w14:solidFill>
                </w14:textFill>
              </w:rPr>
            </w:pPr>
            <w:r>
              <w:rPr>
                <w:rStyle w:val="27"/>
                <w:color w:val="000000" w:themeColor="text1"/>
                <w:spacing w:val="-3"/>
                <w:szCs w:val="21"/>
                <w14:textFill>
                  <w14:solidFill>
                    <w14:schemeClr w14:val="tx1"/>
                  </w14:solidFill>
                </w14:textFill>
              </w:rPr>
              <w:t>突发事件应急处置执行情况</w:t>
            </w:r>
            <w:r>
              <w:rPr>
                <w:rStyle w:val="27"/>
                <w:color w:val="000000" w:themeColor="text1"/>
                <w:szCs w:val="21"/>
                <w14:textFill>
                  <w14:solidFill>
                    <w14:schemeClr w14:val="tx1"/>
                  </w14:solidFill>
                </w14:textFill>
              </w:rPr>
              <w:t>（15</w:t>
            </w:r>
            <w:r>
              <w:rPr>
                <w:rStyle w:val="27"/>
                <w:color w:val="000000" w:themeColor="text1"/>
                <w:spacing w:val="-30"/>
                <w:szCs w:val="21"/>
                <w14:textFill>
                  <w14:solidFill>
                    <w14:schemeClr w14:val="tx1"/>
                  </w14:solidFill>
                </w14:textFill>
              </w:rPr>
              <w:t>分</w:t>
            </w:r>
            <w:r>
              <w:rPr>
                <w:rStyle w:val="27"/>
                <w:color w:val="000000" w:themeColor="text1"/>
                <w:spacing w:val="-13"/>
                <w:szCs w:val="21"/>
                <w14:textFill>
                  <w14:solidFill>
                    <w14:schemeClr w14:val="tx1"/>
                  </w14:solidFill>
                </w14:textFill>
              </w:rPr>
              <w:t>）</w:t>
            </w:r>
          </w:p>
        </w:tc>
        <w:tc>
          <w:tcPr>
            <w:tcW w:w="1170" w:type="dxa"/>
            <w:vMerge w:val="continue"/>
            <w:tcBorders>
              <w:top w:val="nil"/>
              <w:left w:val="single" w:color="000000" w:sz="4" w:space="0"/>
              <w:bottom w:val="single" w:color="000000" w:sz="4" w:space="0"/>
              <w:right w:val="single" w:color="000000" w:sz="4" w:space="0"/>
            </w:tcBorders>
            <w:vAlign w:val="center"/>
          </w:tcPr>
          <w:p w14:paraId="3C280415">
            <w:pPr>
              <w:widowControl/>
              <w:spacing w:before="100" w:beforeAutospacing="1" w:after="100" w:afterAutospacing="1"/>
              <w:jc w:val="center"/>
              <w:textAlignment w:val="baseline"/>
              <w:rPr>
                <w:rStyle w:val="27"/>
                <w:rFonts w:ascii="宋体" w:hAnsi="宋体"/>
                <w:color w:val="000000" w:themeColor="text1"/>
                <w:szCs w:val="21"/>
                <w14:textFill>
                  <w14:solidFill>
                    <w14:schemeClr w14:val="tx1"/>
                  </w14:solidFill>
                </w14:textFill>
              </w:rPr>
            </w:pPr>
          </w:p>
        </w:tc>
        <w:tc>
          <w:tcPr>
            <w:tcW w:w="1040" w:type="dxa"/>
            <w:tcBorders>
              <w:top w:val="single" w:color="000000" w:sz="4" w:space="0"/>
              <w:left w:val="single" w:color="000000" w:sz="4" w:space="0"/>
              <w:bottom w:val="single" w:color="000000" w:sz="4" w:space="0"/>
              <w:right w:val="single" w:color="000000" w:sz="4" w:space="0"/>
            </w:tcBorders>
            <w:vAlign w:val="center"/>
          </w:tcPr>
          <w:p w14:paraId="66315DBD">
            <w:pPr>
              <w:pStyle w:val="28"/>
              <w:spacing w:before="100" w:beforeAutospacing="1" w:after="100" w:afterAutospacing="1"/>
              <w:jc w:val="center"/>
              <w:rPr>
                <w:rStyle w:val="27"/>
                <w:color w:val="000000" w:themeColor="text1"/>
                <w:szCs w:val="21"/>
                <w14:textFill>
                  <w14:solidFill>
                    <w14:schemeClr w14:val="tx1"/>
                  </w14:solidFill>
                </w14:textFill>
              </w:rPr>
            </w:pPr>
          </w:p>
        </w:tc>
      </w:tr>
      <w:tr w14:paraId="3A6EE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910" w:type="dxa"/>
            <w:vMerge w:val="restart"/>
            <w:tcBorders>
              <w:top w:val="single" w:color="000000" w:sz="4" w:space="0"/>
              <w:left w:val="single" w:color="000000" w:sz="4" w:space="0"/>
              <w:bottom w:val="single" w:color="000000" w:sz="4" w:space="0"/>
              <w:right w:val="single" w:color="000000" w:sz="4" w:space="0"/>
            </w:tcBorders>
            <w:vAlign w:val="center"/>
          </w:tcPr>
          <w:p w14:paraId="29D3C0F9">
            <w:pPr>
              <w:pStyle w:val="28"/>
              <w:spacing w:before="100" w:beforeAutospacing="1" w:after="100" w:afterAutospacing="1"/>
              <w:jc w:val="center"/>
              <w:rPr>
                <w:rStyle w:val="27"/>
                <w:color w:val="000000" w:themeColor="text1"/>
                <w:szCs w:val="21"/>
                <w14:textFill>
                  <w14:solidFill>
                    <w14:schemeClr w14:val="tx1"/>
                  </w14:solidFill>
                </w14:textFill>
              </w:rPr>
            </w:pPr>
            <w:r>
              <w:rPr>
                <w:rStyle w:val="27"/>
                <w:color w:val="000000" w:themeColor="text1"/>
                <w:szCs w:val="21"/>
                <w14:textFill>
                  <w14:solidFill>
                    <w14:schemeClr w14:val="tx1"/>
                  </w14:solidFill>
                </w14:textFill>
              </w:rPr>
              <w:t>4</w:t>
            </w:r>
          </w:p>
        </w:tc>
        <w:tc>
          <w:tcPr>
            <w:tcW w:w="1560" w:type="dxa"/>
            <w:vMerge w:val="restart"/>
            <w:tcBorders>
              <w:top w:val="single" w:color="000000" w:sz="4" w:space="0"/>
              <w:left w:val="single" w:color="000000" w:sz="4" w:space="0"/>
              <w:bottom w:val="single" w:color="000000" w:sz="4" w:space="0"/>
              <w:right w:val="single" w:color="000000" w:sz="4" w:space="0"/>
            </w:tcBorders>
            <w:vAlign w:val="center"/>
          </w:tcPr>
          <w:p w14:paraId="3B9ECD26">
            <w:pPr>
              <w:pStyle w:val="28"/>
              <w:spacing w:before="100" w:beforeAutospacing="1" w:after="100" w:afterAutospacing="1"/>
              <w:jc w:val="center"/>
              <w:rPr>
                <w:rStyle w:val="27"/>
                <w:color w:val="000000" w:themeColor="text1"/>
                <w:szCs w:val="21"/>
                <w14:textFill>
                  <w14:solidFill>
                    <w14:schemeClr w14:val="tx1"/>
                  </w14:solidFill>
                </w14:textFill>
              </w:rPr>
            </w:pPr>
            <w:r>
              <w:rPr>
                <w:rStyle w:val="27"/>
                <w:color w:val="000000" w:themeColor="text1"/>
                <w:szCs w:val="21"/>
                <w14:textFill>
                  <w14:solidFill>
                    <w14:schemeClr w14:val="tx1"/>
                  </w14:solidFill>
                </w14:textFill>
              </w:rPr>
              <w:t>文档管理</w:t>
            </w:r>
          </w:p>
        </w:tc>
        <w:tc>
          <w:tcPr>
            <w:tcW w:w="3640" w:type="dxa"/>
            <w:tcBorders>
              <w:top w:val="single" w:color="000000" w:sz="4" w:space="0"/>
              <w:left w:val="single" w:color="000000" w:sz="4" w:space="0"/>
              <w:bottom w:val="single" w:color="000000" w:sz="4" w:space="0"/>
              <w:right w:val="single" w:color="000000" w:sz="4" w:space="0"/>
            </w:tcBorders>
            <w:vAlign w:val="center"/>
          </w:tcPr>
          <w:p w14:paraId="56310997">
            <w:pPr>
              <w:pStyle w:val="28"/>
              <w:spacing w:before="100" w:beforeAutospacing="1" w:after="100" w:afterAutospacing="1"/>
              <w:jc w:val="center"/>
              <w:rPr>
                <w:rStyle w:val="27"/>
                <w:color w:val="000000" w:themeColor="text1"/>
                <w:szCs w:val="21"/>
                <w14:textFill>
                  <w14:solidFill>
                    <w14:schemeClr w14:val="tx1"/>
                  </w14:solidFill>
                </w14:textFill>
              </w:rPr>
            </w:pPr>
            <w:r>
              <w:rPr>
                <w:rStyle w:val="27"/>
                <w:color w:val="000000" w:themeColor="text1"/>
                <w:szCs w:val="21"/>
                <w14:textFill>
                  <w14:solidFill>
                    <w14:schemeClr w14:val="tx1"/>
                  </w14:solidFill>
                </w14:textFill>
              </w:rPr>
              <w:t>巡检记录表（5分）</w:t>
            </w:r>
          </w:p>
        </w:tc>
        <w:tc>
          <w:tcPr>
            <w:tcW w:w="1170" w:type="dxa"/>
            <w:vMerge w:val="restart"/>
            <w:tcBorders>
              <w:top w:val="single" w:color="000000" w:sz="4" w:space="0"/>
              <w:left w:val="single" w:color="000000" w:sz="4" w:space="0"/>
              <w:bottom w:val="single" w:color="000000" w:sz="4" w:space="0"/>
              <w:right w:val="single" w:color="000000" w:sz="4" w:space="0"/>
            </w:tcBorders>
            <w:vAlign w:val="center"/>
          </w:tcPr>
          <w:p w14:paraId="3249B714">
            <w:pPr>
              <w:pStyle w:val="28"/>
              <w:spacing w:before="100" w:beforeAutospacing="1" w:after="100" w:afterAutospacing="1"/>
              <w:jc w:val="center"/>
              <w:rPr>
                <w:rStyle w:val="27"/>
                <w:color w:val="000000" w:themeColor="text1"/>
                <w:szCs w:val="21"/>
                <w14:textFill>
                  <w14:solidFill>
                    <w14:schemeClr w14:val="tx1"/>
                  </w14:solidFill>
                </w14:textFill>
              </w:rPr>
            </w:pPr>
            <w:r>
              <w:rPr>
                <w:rStyle w:val="27"/>
                <w:color w:val="000000" w:themeColor="text1"/>
                <w:szCs w:val="21"/>
                <w14:textFill>
                  <w14:solidFill>
                    <w14:schemeClr w14:val="tx1"/>
                  </w14:solidFill>
                </w14:textFill>
              </w:rPr>
              <w:t>10分</w:t>
            </w:r>
          </w:p>
        </w:tc>
        <w:tc>
          <w:tcPr>
            <w:tcW w:w="1040" w:type="dxa"/>
            <w:tcBorders>
              <w:top w:val="single" w:color="000000" w:sz="4" w:space="0"/>
              <w:left w:val="single" w:color="000000" w:sz="4" w:space="0"/>
              <w:bottom w:val="single" w:color="000000" w:sz="4" w:space="0"/>
              <w:right w:val="single" w:color="000000" w:sz="4" w:space="0"/>
            </w:tcBorders>
            <w:vAlign w:val="center"/>
          </w:tcPr>
          <w:p w14:paraId="51015035">
            <w:pPr>
              <w:pStyle w:val="28"/>
              <w:spacing w:before="100" w:beforeAutospacing="1" w:after="100" w:afterAutospacing="1"/>
              <w:jc w:val="center"/>
              <w:rPr>
                <w:rStyle w:val="27"/>
                <w:color w:val="000000" w:themeColor="text1"/>
                <w:szCs w:val="21"/>
                <w14:textFill>
                  <w14:solidFill>
                    <w14:schemeClr w14:val="tx1"/>
                  </w14:solidFill>
                </w14:textFill>
              </w:rPr>
            </w:pPr>
          </w:p>
        </w:tc>
      </w:tr>
      <w:tr w14:paraId="09514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910" w:type="dxa"/>
            <w:vMerge w:val="continue"/>
            <w:tcBorders>
              <w:top w:val="nil"/>
              <w:left w:val="single" w:color="000000" w:sz="4" w:space="0"/>
              <w:bottom w:val="single" w:color="000000" w:sz="4" w:space="0"/>
              <w:right w:val="single" w:color="000000" w:sz="4" w:space="0"/>
            </w:tcBorders>
            <w:vAlign w:val="center"/>
          </w:tcPr>
          <w:p w14:paraId="4BCF02C2">
            <w:pPr>
              <w:widowControl/>
              <w:spacing w:before="100" w:beforeAutospacing="1" w:after="100" w:afterAutospacing="1"/>
              <w:jc w:val="center"/>
              <w:textAlignment w:val="baseline"/>
              <w:rPr>
                <w:rStyle w:val="27"/>
                <w:rFonts w:ascii="宋体" w:hAnsi="宋体"/>
                <w:color w:val="000000" w:themeColor="text1"/>
                <w:szCs w:val="21"/>
                <w14:textFill>
                  <w14:solidFill>
                    <w14:schemeClr w14:val="tx1"/>
                  </w14:solidFill>
                </w14:textFill>
              </w:rPr>
            </w:pPr>
          </w:p>
        </w:tc>
        <w:tc>
          <w:tcPr>
            <w:tcW w:w="1560" w:type="dxa"/>
            <w:vMerge w:val="continue"/>
            <w:tcBorders>
              <w:top w:val="nil"/>
              <w:left w:val="single" w:color="000000" w:sz="4" w:space="0"/>
              <w:bottom w:val="single" w:color="000000" w:sz="4" w:space="0"/>
              <w:right w:val="single" w:color="000000" w:sz="4" w:space="0"/>
            </w:tcBorders>
            <w:vAlign w:val="center"/>
          </w:tcPr>
          <w:p w14:paraId="5FA9AD95">
            <w:pPr>
              <w:widowControl/>
              <w:spacing w:before="100" w:beforeAutospacing="1" w:after="100" w:afterAutospacing="1"/>
              <w:jc w:val="center"/>
              <w:textAlignment w:val="baseline"/>
              <w:rPr>
                <w:rStyle w:val="27"/>
                <w:rFonts w:ascii="宋体" w:hAnsi="宋体"/>
                <w:color w:val="000000" w:themeColor="text1"/>
                <w:szCs w:val="21"/>
                <w14:textFill>
                  <w14:solidFill>
                    <w14:schemeClr w14:val="tx1"/>
                  </w14:solidFill>
                </w14:textFill>
              </w:rPr>
            </w:pPr>
          </w:p>
        </w:tc>
        <w:tc>
          <w:tcPr>
            <w:tcW w:w="3640" w:type="dxa"/>
            <w:tcBorders>
              <w:top w:val="single" w:color="000000" w:sz="4" w:space="0"/>
              <w:left w:val="single" w:color="000000" w:sz="4" w:space="0"/>
              <w:bottom w:val="single" w:color="000000" w:sz="4" w:space="0"/>
              <w:right w:val="single" w:color="000000" w:sz="4" w:space="0"/>
            </w:tcBorders>
            <w:vAlign w:val="center"/>
          </w:tcPr>
          <w:p w14:paraId="0B75168E">
            <w:pPr>
              <w:pStyle w:val="28"/>
              <w:spacing w:before="100" w:beforeAutospacing="1" w:after="100" w:afterAutospacing="1"/>
              <w:jc w:val="center"/>
              <w:rPr>
                <w:rStyle w:val="27"/>
                <w:color w:val="000000" w:themeColor="text1"/>
                <w:szCs w:val="21"/>
                <w14:textFill>
                  <w14:solidFill>
                    <w14:schemeClr w14:val="tx1"/>
                  </w14:solidFill>
                </w14:textFill>
              </w:rPr>
            </w:pPr>
            <w:r>
              <w:rPr>
                <w:rStyle w:val="27"/>
                <w:color w:val="000000" w:themeColor="text1"/>
                <w:szCs w:val="21"/>
                <w14:textFill>
                  <w14:solidFill>
                    <w14:schemeClr w14:val="tx1"/>
                  </w14:solidFill>
                </w14:textFill>
              </w:rPr>
              <w:t>故障分析报告（5分）</w:t>
            </w:r>
          </w:p>
        </w:tc>
        <w:tc>
          <w:tcPr>
            <w:tcW w:w="1170" w:type="dxa"/>
            <w:vMerge w:val="continue"/>
            <w:tcBorders>
              <w:top w:val="nil"/>
              <w:left w:val="single" w:color="000000" w:sz="4" w:space="0"/>
              <w:bottom w:val="single" w:color="000000" w:sz="4" w:space="0"/>
              <w:right w:val="single" w:color="000000" w:sz="4" w:space="0"/>
            </w:tcBorders>
            <w:vAlign w:val="center"/>
          </w:tcPr>
          <w:p w14:paraId="25EF0EDE">
            <w:pPr>
              <w:widowControl/>
              <w:spacing w:before="100" w:beforeAutospacing="1" w:after="100" w:afterAutospacing="1"/>
              <w:jc w:val="center"/>
              <w:textAlignment w:val="baseline"/>
              <w:rPr>
                <w:rStyle w:val="27"/>
                <w:rFonts w:ascii="宋体" w:hAnsi="宋体"/>
                <w:color w:val="000000" w:themeColor="text1"/>
                <w:szCs w:val="21"/>
                <w14:textFill>
                  <w14:solidFill>
                    <w14:schemeClr w14:val="tx1"/>
                  </w14:solidFill>
                </w14:textFill>
              </w:rPr>
            </w:pPr>
          </w:p>
        </w:tc>
        <w:tc>
          <w:tcPr>
            <w:tcW w:w="1040" w:type="dxa"/>
            <w:tcBorders>
              <w:top w:val="single" w:color="000000" w:sz="4" w:space="0"/>
              <w:left w:val="single" w:color="000000" w:sz="4" w:space="0"/>
              <w:bottom w:val="single" w:color="000000" w:sz="4" w:space="0"/>
              <w:right w:val="single" w:color="000000" w:sz="4" w:space="0"/>
            </w:tcBorders>
            <w:vAlign w:val="center"/>
          </w:tcPr>
          <w:p w14:paraId="5F1A26D9">
            <w:pPr>
              <w:pStyle w:val="28"/>
              <w:spacing w:before="100" w:beforeAutospacing="1" w:after="100" w:afterAutospacing="1"/>
              <w:jc w:val="center"/>
              <w:rPr>
                <w:rStyle w:val="27"/>
                <w:color w:val="000000" w:themeColor="text1"/>
                <w:szCs w:val="21"/>
                <w14:textFill>
                  <w14:solidFill>
                    <w14:schemeClr w14:val="tx1"/>
                  </w14:solidFill>
                </w14:textFill>
              </w:rPr>
            </w:pPr>
          </w:p>
        </w:tc>
      </w:tr>
    </w:tbl>
    <w:p w14:paraId="0E5BC3E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ascii="宋体" w:hAnsi="宋体"/>
          <w:color w:val="000000" w:themeColor="text1"/>
          <w:sz w:val="24"/>
          <w14:textFill>
            <w14:solidFill>
              <w14:schemeClr w14:val="tx1"/>
            </w14:solidFill>
          </w14:textFill>
        </w:rPr>
      </w:pPr>
    </w:p>
    <w:p w14:paraId="7177E523">
      <w:pPr>
        <w:keepNext w:val="0"/>
        <w:keepLines w:val="0"/>
        <w:pageBreakBefore w:val="0"/>
        <w:widowControl w:val="0"/>
        <w:numPr>
          <w:ilvl w:val="0"/>
          <w:numId w:val="3"/>
        </w:numPr>
        <w:kinsoku/>
        <w:wordWrap/>
        <w:overflowPunct/>
        <w:topLinePunct w:val="0"/>
        <w:autoSpaceDE w:val="0"/>
        <w:autoSpaceDN w:val="0"/>
        <w:bidi w:val="0"/>
        <w:adjustRightInd w:val="0"/>
        <w:snapToGrid w:val="0"/>
        <w:spacing w:line="360" w:lineRule="auto"/>
        <w:ind w:firstLine="480" w:firstLineChars="200"/>
        <w:jc w:val="left"/>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对于技术水平低、服务态度差、责任性不强的驻场服务人员，服务方应依据院方要求进行整改或更换。</w:t>
      </w:r>
    </w:p>
    <w:p w14:paraId="1F9E5698">
      <w:pPr>
        <w:pStyle w:val="2"/>
        <w:keepNext w:val="0"/>
        <w:keepLines w:val="0"/>
        <w:pageBreakBefore w:val="0"/>
        <w:widowControl w:val="0"/>
        <w:kinsoku/>
        <w:wordWrap/>
        <w:overflowPunct/>
        <w:topLinePunct w:val="0"/>
        <w:bidi w:val="0"/>
        <w:adjustRightInd w:val="0"/>
        <w:spacing w:line="360" w:lineRule="auto"/>
        <w:textAlignment w:val="auto"/>
      </w:pPr>
    </w:p>
    <w:p w14:paraId="1B760C44">
      <w:pPr>
        <w:pStyle w:val="2"/>
      </w:pPr>
    </w:p>
    <w:p w14:paraId="3BA4DD34">
      <w:pPr>
        <w:pStyle w:val="2"/>
      </w:pPr>
    </w:p>
    <w:p w14:paraId="414FC0D8">
      <w:pPr>
        <w:pStyle w:val="2"/>
      </w:pPr>
    </w:p>
    <w:p w14:paraId="186CC7D5">
      <w:pPr>
        <w:pStyle w:val="23"/>
        <w:spacing w:after="240"/>
        <w:ind w:firstLine="0" w:firstLineChars="0"/>
        <w:rPr>
          <w:rFonts w:hint="eastAsia" w:ascii="宋体" w:hAnsi="宋体" w:eastAsia="宋体" w:cs="Times New Roman"/>
          <w:b/>
          <w:bCs w:val="0"/>
          <w:color w:val="000000" w:themeColor="text1"/>
          <w:kern w:val="2"/>
          <w:sz w:val="24"/>
          <w:szCs w:val="24"/>
          <w:lang w:val="en-US" w:eastAsia="zh-CN" w:bidi="ar-SA"/>
          <w14:textFill>
            <w14:solidFill>
              <w14:schemeClr w14:val="tx1"/>
            </w14:solidFill>
          </w14:textFill>
        </w:rPr>
      </w:pPr>
      <w:r>
        <w:rPr>
          <w:rFonts w:hint="eastAsia" w:ascii="宋体" w:hAnsi="宋体" w:cs="Times New Roman"/>
          <w:b/>
          <w:bCs w:val="0"/>
          <w:color w:val="000000" w:themeColor="text1"/>
          <w:kern w:val="2"/>
          <w:sz w:val="24"/>
          <w:szCs w:val="24"/>
          <w:lang w:val="en-US" w:eastAsia="zh-CN" w:bidi="ar-SA"/>
          <w14:textFill>
            <w14:solidFill>
              <w14:schemeClr w14:val="tx1"/>
            </w14:solidFill>
          </w14:textFill>
        </w:rPr>
        <w:t>六</w:t>
      </w:r>
      <w:r>
        <w:rPr>
          <w:rFonts w:hint="eastAsia" w:ascii="宋体" w:hAnsi="宋体" w:eastAsia="宋体" w:cs="Times New Roman"/>
          <w:b/>
          <w:bCs w:val="0"/>
          <w:color w:val="000000" w:themeColor="text1"/>
          <w:kern w:val="2"/>
          <w:sz w:val="24"/>
          <w:szCs w:val="24"/>
          <w:lang w:val="en-US" w:eastAsia="zh-CN" w:bidi="ar-SA"/>
          <w14:textFill>
            <w14:solidFill>
              <w14:schemeClr w14:val="tx1"/>
            </w14:solidFill>
          </w14:textFill>
        </w:rPr>
        <w:t>、评分办法</w:t>
      </w:r>
    </w:p>
    <w:tbl>
      <w:tblPr>
        <w:tblStyle w:val="14"/>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8480"/>
      </w:tblGrid>
      <w:tr w14:paraId="6D853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vAlign w:val="center"/>
          </w:tcPr>
          <w:p w14:paraId="203AFC37">
            <w:pPr>
              <w:widowControl/>
              <w:spacing w:after="240" w:line="440" w:lineRule="exact"/>
              <w:jc w:val="center"/>
              <w:rPr>
                <w:rFonts w:ascii="宋体" w:hAnsi="宋体" w:cstheme="minorEastAsia"/>
                <w:b/>
                <w:color w:val="000000" w:themeColor="text1"/>
                <w:szCs w:val="21"/>
                <w14:textFill>
                  <w14:solidFill>
                    <w14:schemeClr w14:val="tx1"/>
                  </w14:solidFill>
                </w14:textFill>
              </w:rPr>
            </w:pPr>
            <w:r>
              <w:rPr>
                <w:rFonts w:hint="eastAsia" w:ascii="宋体" w:hAnsi="宋体" w:cstheme="minorEastAsia"/>
                <w:b/>
                <w:color w:val="000000" w:themeColor="text1"/>
                <w:szCs w:val="21"/>
                <w14:textFill>
                  <w14:solidFill>
                    <w14:schemeClr w14:val="tx1"/>
                  </w14:solidFill>
                </w14:textFill>
              </w:rPr>
              <w:t>评分内容</w:t>
            </w:r>
          </w:p>
        </w:tc>
        <w:tc>
          <w:tcPr>
            <w:tcW w:w="8480" w:type="dxa"/>
            <w:vAlign w:val="center"/>
          </w:tcPr>
          <w:p w14:paraId="11EA888C">
            <w:pPr>
              <w:widowControl/>
              <w:spacing w:line="440" w:lineRule="exact"/>
              <w:jc w:val="center"/>
              <w:rPr>
                <w:rFonts w:ascii="宋体" w:hAnsi="宋体" w:cstheme="minorEastAsia"/>
                <w:b/>
                <w:color w:val="000000" w:themeColor="text1"/>
                <w:szCs w:val="21"/>
                <w14:textFill>
                  <w14:solidFill>
                    <w14:schemeClr w14:val="tx1"/>
                  </w14:solidFill>
                </w14:textFill>
              </w:rPr>
            </w:pPr>
            <w:r>
              <w:rPr>
                <w:rFonts w:hint="eastAsia" w:ascii="宋体" w:hAnsi="宋体" w:cstheme="minorEastAsia"/>
                <w:b/>
                <w:color w:val="000000" w:themeColor="text1"/>
                <w:szCs w:val="21"/>
                <w14:textFill>
                  <w14:solidFill>
                    <w14:schemeClr w14:val="tx1"/>
                  </w14:solidFill>
                </w14:textFill>
              </w:rPr>
              <w:t>评分标准</w:t>
            </w:r>
          </w:p>
        </w:tc>
      </w:tr>
      <w:tr w14:paraId="06BCB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vAlign w:val="center"/>
          </w:tcPr>
          <w:p w14:paraId="2990A68F">
            <w:pPr>
              <w:snapToGrid w:val="0"/>
              <w:spacing w:line="360" w:lineRule="auto"/>
              <w:jc w:val="center"/>
              <w:rPr>
                <w:rFonts w:ascii="宋体" w:hAnsi="宋体" w:cstheme="minorEastAsia"/>
                <w:b/>
                <w:bCs/>
                <w:color w:val="000000" w:themeColor="text1"/>
                <w:szCs w:val="21"/>
                <w14:textFill>
                  <w14:solidFill>
                    <w14:schemeClr w14:val="tx1"/>
                  </w14:solidFill>
                </w14:textFill>
              </w:rPr>
            </w:pPr>
            <w:r>
              <w:rPr>
                <w:rFonts w:hint="eastAsia" w:ascii="宋体" w:hAnsi="宋体" w:cstheme="minorEastAsia"/>
                <w:b/>
                <w:bCs/>
                <w:color w:val="000000" w:themeColor="text1"/>
                <w:szCs w:val="21"/>
                <w14:textFill>
                  <w14:solidFill>
                    <w14:schemeClr w14:val="tx1"/>
                  </w14:solidFill>
                </w14:textFill>
              </w:rPr>
              <w:t>价格</w:t>
            </w:r>
          </w:p>
          <w:p w14:paraId="2D5274F9">
            <w:pPr>
              <w:snapToGrid w:val="0"/>
              <w:spacing w:line="360" w:lineRule="auto"/>
              <w:jc w:val="center"/>
              <w:rPr>
                <w:rFonts w:ascii="宋体" w:hAnsi="宋体" w:cstheme="minorEastAsia"/>
                <w:color w:val="000000" w:themeColor="text1"/>
                <w:szCs w:val="21"/>
                <w14:textFill>
                  <w14:solidFill>
                    <w14:schemeClr w14:val="tx1"/>
                  </w14:solidFill>
                </w14:textFill>
              </w:rPr>
            </w:pPr>
            <w:r>
              <w:rPr>
                <w:rFonts w:hint="eastAsia" w:ascii="宋体" w:hAnsi="宋体" w:cstheme="minorEastAsia"/>
                <w:b/>
                <w:bCs/>
                <w:color w:val="000000" w:themeColor="text1"/>
                <w:szCs w:val="21"/>
                <w14:textFill>
                  <w14:solidFill>
                    <w14:schemeClr w14:val="tx1"/>
                  </w14:solidFill>
                </w14:textFill>
              </w:rPr>
              <w:t>（</w:t>
            </w:r>
            <w:r>
              <w:rPr>
                <w:rFonts w:hint="eastAsia" w:ascii="宋体" w:hAnsi="宋体" w:cstheme="minorEastAsia"/>
                <w:b/>
                <w:color w:val="000000" w:themeColor="text1"/>
                <w:szCs w:val="21"/>
                <w:lang w:val="en-US" w:eastAsia="zh-CN"/>
                <w14:textFill>
                  <w14:solidFill>
                    <w14:schemeClr w14:val="tx1"/>
                  </w14:solidFill>
                </w14:textFill>
              </w:rPr>
              <w:t>30</w:t>
            </w:r>
            <w:r>
              <w:rPr>
                <w:rFonts w:hint="eastAsia" w:ascii="宋体" w:hAnsi="宋体" w:cstheme="minorEastAsia"/>
                <w:b/>
                <w:bCs/>
                <w:color w:val="000000" w:themeColor="text1"/>
                <w:szCs w:val="21"/>
                <w14:textFill>
                  <w14:solidFill>
                    <w14:schemeClr w14:val="tx1"/>
                  </w14:solidFill>
                </w14:textFill>
              </w:rPr>
              <w:t>分）</w:t>
            </w:r>
          </w:p>
        </w:tc>
        <w:tc>
          <w:tcPr>
            <w:tcW w:w="8480" w:type="dxa"/>
            <w:vAlign w:val="center"/>
          </w:tcPr>
          <w:p w14:paraId="4F5E30B3">
            <w:pPr>
              <w:widowControl/>
              <w:spacing w:line="360" w:lineRule="auto"/>
              <w:textAlignment w:val="center"/>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采用低价优先法计算，以满足采购文件要求且投标价格最低的投标报价为评标基准价，其价格为满分</w:t>
            </w:r>
            <w:r>
              <w:rPr>
                <w:rFonts w:hint="eastAsia" w:ascii="宋体" w:hAnsi="宋体" w:cstheme="minorEastAsia"/>
                <w:color w:val="000000" w:themeColor="text1"/>
                <w:szCs w:val="21"/>
                <w:lang w:val="en-US" w:eastAsia="zh-CN"/>
                <w14:textFill>
                  <w14:solidFill>
                    <w14:schemeClr w14:val="tx1"/>
                  </w14:solidFill>
                </w14:textFill>
              </w:rPr>
              <w:t>30</w:t>
            </w:r>
            <w:r>
              <w:rPr>
                <w:rFonts w:hint="eastAsia" w:ascii="宋体" w:hAnsi="宋体" w:cstheme="minorEastAsia"/>
                <w:color w:val="000000" w:themeColor="text1"/>
                <w:szCs w:val="21"/>
                <w14:textFill>
                  <w14:solidFill>
                    <w14:schemeClr w14:val="tx1"/>
                  </w14:solidFill>
                </w14:textFill>
              </w:rPr>
              <w:t>分。其他投标人的价格分统一按照下列公式计算：投标报价得分＝（评标基准价/投标报价）×</w:t>
            </w:r>
            <w:r>
              <w:rPr>
                <w:rFonts w:hint="eastAsia" w:ascii="宋体" w:hAnsi="宋体" w:cstheme="minorEastAsia"/>
                <w:color w:val="000000" w:themeColor="text1"/>
                <w:szCs w:val="21"/>
                <w:lang w:val="en-US" w:eastAsia="zh-CN"/>
                <w14:textFill>
                  <w14:solidFill>
                    <w14:schemeClr w14:val="tx1"/>
                  </w14:solidFill>
                </w14:textFill>
              </w:rPr>
              <w:t>3</w:t>
            </w:r>
            <w:r>
              <w:rPr>
                <w:rFonts w:ascii="宋体" w:hAnsi="宋体" w:cstheme="minorEastAsia"/>
                <w:color w:val="000000" w:themeColor="text1"/>
                <w:szCs w:val="21"/>
                <w14:textFill>
                  <w14:solidFill>
                    <w14:schemeClr w14:val="tx1"/>
                  </w14:solidFill>
                </w14:textFill>
              </w:rPr>
              <w:t>0</w:t>
            </w:r>
            <w:r>
              <w:rPr>
                <w:rFonts w:hint="eastAsia" w:ascii="宋体" w:hAnsi="宋体" w:cstheme="minorEastAsia"/>
                <w:color w:val="000000" w:themeColor="text1"/>
                <w:szCs w:val="21"/>
                <w14:textFill>
                  <w14:solidFill>
                    <w14:schemeClr w14:val="tx1"/>
                  </w14:solidFill>
                </w14:textFill>
              </w:rPr>
              <w:t>×100%。（保留两位小数）</w:t>
            </w:r>
          </w:p>
          <w:p w14:paraId="6B7F1E5D">
            <w:pPr>
              <w:snapToGrid w:val="0"/>
              <w:spacing w:line="360" w:lineRule="auto"/>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注：评标委员会认为投标人的报价明显低于其他通过符合性审查投标人的报价，有可能影响产品质量或者不能诚信履约的，且投标人不能在评标现场合理的时间内证明其报价合理性的，评标委员会有权将其作为无效投标处理。</w:t>
            </w:r>
          </w:p>
        </w:tc>
      </w:tr>
      <w:tr w14:paraId="32B99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vAlign w:val="center"/>
          </w:tcPr>
          <w:p w14:paraId="12146325">
            <w:pPr>
              <w:adjustRightInd w:val="0"/>
              <w:snapToGrid w:val="0"/>
              <w:spacing w:line="440" w:lineRule="exact"/>
              <w:jc w:val="center"/>
              <w:rPr>
                <w:rFonts w:ascii="宋体" w:hAnsi="宋体" w:cstheme="minorEastAsia"/>
                <w:b/>
                <w:color w:val="000000" w:themeColor="text1"/>
                <w:szCs w:val="21"/>
                <w14:textFill>
                  <w14:solidFill>
                    <w14:schemeClr w14:val="tx1"/>
                  </w14:solidFill>
                </w14:textFill>
              </w:rPr>
            </w:pPr>
            <w:r>
              <w:rPr>
                <w:rFonts w:hint="eastAsia" w:ascii="宋体" w:hAnsi="宋体" w:cstheme="minorEastAsia"/>
                <w:b/>
                <w:color w:val="000000" w:themeColor="text1"/>
                <w:szCs w:val="21"/>
                <w14:textFill>
                  <w14:solidFill>
                    <w14:schemeClr w14:val="tx1"/>
                  </w14:solidFill>
                </w14:textFill>
              </w:rPr>
              <w:t>项目实施方案</w:t>
            </w:r>
          </w:p>
          <w:p w14:paraId="332C3FBC">
            <w:pPr>
              <w:snapToGrid w:val="0"/>
              <w:spacing w:line="440" w:lineRule="exact"/>
              <w:jc w:val="center"/>
              <w:rPr>
                <w:rFonts w:ascii="宋体" w:hAnsi="宋体" w:cstheme="minorEastAsia"/>
                <w:color w:val="000000" w:themeColor="text1"/>
                <w:szCs w:val="21"/>
                <w14:textFill>
                  <w14:solidFill>
                    <w14:schemeClr w14:val="tx1"/>
                  </w14:solidFill>
                </w14:textFill>
              </w:rPr>
            </w:pPr>
            <w:r>
              <w:rPr>
                <w:rFonts w:hint="eastAsia" w:ascii="宋体" w:hAnsi="宋体" w:cstheme="minorEastAsia"/>
                <w:b/>
                <w:color w:val="000000" w:themeColor="text1"/>
                <w:szCs w:val="21"/>
                <w14:textFill>
                  <w14:solidFill>
                    <w14:schemeClr w14:val="tx1"/>
                  </w14:solidFill>
                </w14:textFill>
              </w:rPr>
              <w:t>（10分）</w:t>
            </w:r>
          </w:p>
        </w:tc>
        <w:tc>
          <w:tcPr>
            <w:tcW w:w="8480" w:type="dxa"/>
          </w:tcPr>
          <w:p w14:paraId="4395D91A">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投标人提供详细的项目分析，项目价格应包含各构成部分，如人员费、设备更换数量、单价、配件来源等，充分体现项目实施的依据和合理性。</w:t>
            </w:r>
          </w:p>
          <w:p w14:paraId="66B6910F">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1、方案科学、严密、合理，描述详细且具有针对性的得10分；</w:t>
            </w:r>
          </w:p>
          <w:p w14:paraId="04E7EBC2">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2、方案较科学、严密、合理，描述较详细，较有针对性的得7分；</w:t>
            </w:r>
          </w:p>
          <w:p w14:paraId="504C15E4">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3、方案基本科学、严密、合理，描述基本详细，基本有针对性的得4分；</w:t>
            </w:r>
          </w:p>
          <w:p w14:paraId="11F0B04F">
            <w:pPr>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4、方案不科学、严密、合理，描述不详细，无针对性的得1分；</w:t>
            </w:r>
          </w:p>
          <w:p w14:paraId="59A8906D">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5、其他不得分。</w:t>
            </w:r>
          </w:p>
        </w:tc>
      </w:tr>
      <w:tr w14:paraId="2D46C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vAlign w:val="center"/>
          </w:tcPr>
          <w:p w14:paraId="15938CBC">
            <w:pPr>
              <w:adjustRightInd w:val="0"/>
              <w:snapToGrid w:val="0"/>
              <w:spacing w:line="440" w:lineRule="exact"/>
              <w:jc w:val="center"/>
              <w:rPr>
                <w:rFonts w:ascii="宋体" w:hAnsi="宋体" w:cstheme="minorEastAsia"/>
                <w:b/>
                <w:color w:val="000000" w:themeColor="text1"/>
                <w:szCs w:val="21"/>
                <w14:textFill>
                  <w14:solidFill>
                    <w14:schemeClr w14:val="tx1"/>
                  </w14:solidFill>
                </w14:textFill>
              </w:rPr>
            </w:pPr>
            <w:r>
              <w:rPr>
                <w:rFonts w:hint="eastAsia" w:ascii="宋体" w:hAnsi="宋体" w:cstheme="minorEastAsia"/>
                <w:b/>
                <w:color w:val="000000" w:themeColor="text1"/>
                <w:szCs w:val="21"/>
                <w14:textFill>
                  <w14:solidFill>
                    <w14:schemeClr w14:val="tx1"/>
                  </w14:solidFill>
                </w14:textFill>
              </w:rPr>
              <w:t>日常服务方案</w:t>
            </w:r>
          </w:p>
          <w:p w14:paraId="588AD2B3">
            <w:pPr>
              <w:snapToGrid w:val="0"/>
              <w:spacing w:line="440" w:lineRule="exact"/>
              <w:jc w:val="center"/>
              <w:rPr>
                <w:rFonts w:ascii="宋体" w:hAnsi="宋体" w:cstheme="minorEastAsia"/>
                <w:color w:val="000000" w:themeColor="text1"/>
                <w:szCs w:val="21"/>
                <w14:textFill>
                  <w14:solidFill>
                    <w14:schemeClr w14:val="tx1"/>
                  </w14:solidFill>
                </w14:textFill>
              </w:rPr>
            </w:pPr>
            <w:r>
              <w:rPr>
                <w:rFonts w:hint="eastAsia" w:ascii="宋体" w:hAnsi="宋体" w:cstheme="minorEastAsia"/>
                <w:b/>
                <w:color w:val="000000" w:themeColor="text1"/>
                <w:szCs w:val="21"/>
                <w14:textFill>
                  <w14:solidFill>
                    <w14:schemeClr w14:val="tx1"/>
                  </w14:solidFill>
                </w14:textFill>
              </w:rPr>
              <w:t>（10分）</w:t>
            </w:r>
          </w:p>
        </w:tc>
        <w:tc>
          <w:tcPr>
            <w:tcW w:w="8480" w:type="dxa"/>
          </w:tcPr>
          <w:p w14:paraId="60C20507">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投标人提供详细的日常服务方案，包含驻场服务人员、项目配套服务人员的简介和客户满意度评价、售后服务方案、服务质量保证材料与措施、培训计划等，重点体现投标人服务能力。</w:t>
            </w:r>
          </w:p>
          <w:p w14:paraId="0E47BBE2">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1、方案科学、严密、合理，描述详细且具有针对性的得</w:t>
            </w:r>
            <w:r>
              <w:rPr>
                <w:rFonts w:ascii="宋体" w:hAnsi="宋体" w:cstheme="minorEastAsia"/>
                <w:color w:val="000000" w:themeColor="text1"/>
                <w:szCs w:val="21"/>
                <w14:textFill>
                  <w14:solidFill>
                    <w14:schemeClr w14:val="tx1"/>
                  </w14:solidFill>
                </w14:textFill>
              </w:rPr>
              <w:t>1</w:t>
            </w:r>
            <w:r>
              <w:rPr>
                <w:rFonts w:hint="eastAsia" w:ascii="宋体" w:hAnsi="宋体" w:cstheme="minorEastAsia"/>
                <w:color w:val="000000" w:themeColor="text1"/>
                <w:szCs w:val="21"/>
                <w14:textFill>
                  <w14:solidFill>
                    <w14:schemeClr w14:val="tx1"/>
                  </w14:solidFill>
                </w14:textFill>
              </w:rPr>
              <w:t>0分；</w:t>
            </w:r>
          </w:p>
          <w:p w14:paraId="70FF7483">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2、方案较科学、严密、合理，描述较详细，较有针对性的得7分；</w:t>
            </w:r>
          </w:p>
          <w:p w14:paraId="1325B443">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3、方案基本科学、严密、合理，描述基本详细，基本有针对性的得4分；</w:t>
            </w:r>
          </w:p>
          <w:p w14:paraId="28812CC2">
            <w:pPr>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4、方案不科学、严密、合理，描述不详细，无针对性的得1分；</w:t>
            </w:r>
          </w:p>
          <w:p w14:paraId="7E9ECDB6">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5、其他不得分。</w:t>
            </w:r>
          </w:p>
        </w:tc>
      </w:tr>
      <w:tr w14:paraId="3595E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vAlign w:val="center"/>
          </w:tcPr>
          <w:p w14:paraId="0FE6EA5D">
            <w:pPr>
              <w:adjustRightInd w:val="0"/>
              <w:snapToGrid w:val="0"/>
              <w:spacing w:line="440" w:lineRule="exact"/>
              <w:jc w:val="center"/>
              <w:rPr>
                <w:rFonts w:ascii="宋体" w:hAnsi="宋体" w:cstheme="minorEastAsia"/>
                <w:b/>
                <w:color w:val="000000" w:themeColor="text1"/>
                <w:szCs w:val="21"/>
                <w14:textFill>
                  <w14:solidFill>
                    <w14:schemeClr w14:val="tx1"/>
                  </w14:solidFill>
                </w14:textFill>
              </w:rPr>
            </w:pPr>
            <w:r>
              <w:rPr>
                <w:rFonts w:hint="eastAsia" w:ascii="宋体" w:hAnsi="宋体" w:cstheme="minorEastAsia"/>
                <w:b/>
                <w:color w:val="000000" w:themeColor="text1"/>
                <w:szCs w:val="21"/>
                <w14:textFill>
                  <w14:solidFill>
                    <w14:schemeClr w14:val="tx1"/>
                  </w14:solidFill>
                </w14:textFill>
              </w:rPr>
              <w:t>应急服务方案</w:t>
            </w:r>
          </w:p>
          <w:p w14:paraId="28B9B513">
            <w:pPr>
              <w:adjustRightInd w:val="0"/>
              <w:snapToGrid w:val="0"/>
              <w:spacing w:line="440" w:lineRule="exact"/>
              <w:jc w:val="center"/>
              <w:rPr>
                <w:rFonts w:ascii="宋体" w:hAnsi="宋体" w:cstheme="minorEastAsia"/>
                <w:b/>
                <w:color w:val="000000" w:themeColor="text1"/>
                <w:szCs w:val="21"/>
                <w14:textFill>
                  <w14:solidFill>
                    <w14:schemeClr w14:val="tx1"/>
                  </w14:solidFill>
                </w14:textFill>
              </w:rPr>
            </w:pPr>
            <w:r>
              <w:rPr>
                <w:rFonts w:hint="eastAsia" w:ascii="宋体" w:hAnsi="宋体" w:cstheme="minorEastAsia"/>
                <w:b/>
                <w:color w:val="000000" w:themeColor="text1"/>
                <w:szCs w:val="21"/>
                <w14:textFill>
                  <w14:solidFill>
                    <w14:schemeClr w14:val="tx1"/>
                  </w14:solidFill>
                </w14:textFill>
              </w:rPr>
              <w:t>（10分）</w:t>
            </w:r>
          </w:p>
        </w:tc>
        <w:tc>
          <w:tcPr>
            <w:tcW w:w="8480" w:type="dxa"/>
          </w:tcPr>
          <w:p w14:paraId="776451B9">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投标人针对突发事件或者特殊时段（深夜或者节假日）提供应急服务方案，包括响应时间、应急服务团队、备品备件等。</w:t>
            </w:r>
          </w:p>
          <w:p w14:paraId="5EA00C68">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1、方案科学、严密、合理，描述详细，具有针对性的得10分；</w:t>
            </w:r>
          </w:p>
          <w:p w14:paraId="3D08E8B1">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2、方案较科学、严密、合理，描述清楚，，较有针对性的得7分；</w:t>
            </w:r>
          </w:p>
          <w:p w14:paraId="19D3B242">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3、方案基本科学、严密、合理，描述基本详细，基本有针对性的得4分；</w:t>
            </w:r>
          </w:p>
          <w:p w14:paraId="696A4D4A">
            <w:pPr>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4、方案不科学、严密、合理，描述不详细，无针对性的得1分；</w:t>
            </w:r>
          </w:p>
          <w:p w14:paraId="2E23FC61">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5、其他不得分。</w:t>
            </w:r>
          </w:p>
        </w:tc>
      </w:tr>
      <w:tr w14:paraId="7448B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vAlign w:val="center"/>
          </w:tcPr>
          <w:p w14:paraId="5418A2E7">
            <w:pPr>
              <w:adjustRightInd w:val="0"/>
              <w:snapToGrid w:val="0"/>
              <w:spacing w:line="440" w:lineRule="exact"/>
              <w:jc w:val="center"/>
              <w:rPr>
                <w:rFonts w:ascii="宋体" w:hAnsi="宋体" w:cstheme="minorEastAsia"/>
                <w:b/>
                <w:color w:val="000000" w:themeColor="text1"/>
                <w:szCs w:val="21"/>
                <w14:textFill>
                  <w14:solidFill>
                    <w14:schemeClr w14:val="tx1"/>
                  </w14:solidFill>
                </w14:textFill>
              </w:rPr>
            </w:pPr>
            <w:r>
              <w:rPr>
                <w:rFonts w:hint="eastAsia" w:ascii="宋体" w:hAnsi="宋体" w:cstheme="minorEastAsia"/>
                <w:b/>
                <w:color w:val="000000" w:themeColor="text1"/>
                <w:szCs w:val="21"/>
                <w14:textFill>
                  <w14:solidFill>
                    <w14:schemeClr w14:val="tx1"/>
                  </w14:solidFill>
                </w14:textFill>
              </w:rPr>
              <w:t>巡检服务方案</w:t>
            </w:r>
          </w:p>
          <w:p w14:paraId="502E56B4">
            <w:pPr>
              <w:adjustRightInd w:val="0"/>
              <w:snapToGrid w:val="0"/>
              <w:spacing w:line="440" w:lineRule="exact"/>
              <w:jc w:val="center"/>
              <w:rPr>
                <w:rFonts w:ascii="宋体" w:hAnsi="宋体" w:cstheme="minorEastAsia"/>
                <w:b/>
                <w:color w:val="000000" w:themeColor="text1"/>
                <w:szCs w:val="21"/>
                <w14:textFill>
                  <w14:solidFill>
                    <w14:schemeClr w14:val="tx1"/>
                  </w14:solidFill>
                </w14:textFill>
              </w:rPr>
            </w:pPr>
            <w:r>
              <w:rPr>
                <w:rFonts w:hint="eastAsia" w:ascii="宋体" w:hAnsi="宋体" w:cstheme="minorEastAsia"/>
                <w:b/>
                <w:color w:val="000000" w:themeColor="text1"/>
                <w:szCs w:val="21"/>
                <w14:textFill>
                  <w14:solidFill>
                    <w14:schemeClr w14:val="tx1"/>
                  </w14:solidFill>
                </w14:textFill>
              </w:rPr>
              <w:t>（8分）</w:t>
            </w:r>
          </w:p>
        </w:tc>
        <w:tc>
          <w:tcPr>
            <w:tcW w:w="8480" w:type="dxa"/>
          </w:tcPr>
          <w:p w14:paraId="1CC1089E">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投标人提供详细的巡检服务方案，包括定期和非定期巡检方案、巡检日志、归档管理制度。</w:t>
            </w:r>
          </w:p>
          <w:p w14:paraId="347444FB">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1、方案科学、严密、合理，描述详细且具有针对性的得8分；</w:t>
            </w:r>
          </w:p>
          <w:p w14:paraId="6B8711C5">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2、方案较科学、严密、合理，描述较详细，较有针对性的得5分；</w:t>
            </w:r>
          </w:p>
          <w:p w14:paraId="37C1A26F">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3、方案基本科学、严密、合理，描述基本详细，基本有针对性的得3分；</w:t>
            </w:r>
          </w:p>
          <w:p w14:paraId="1A815D82">
            <w:pPr>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4、方案不科学、严密、合理，描述不详细，无针对性的得1分；</w:t>
            </w:r>
          </w:p>
          <w:p w14:paraId="6FED0E41">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5、其他不得分。</w:t>
            </w:r>
          </w:p>
        </w:tc>
      </w:tr>
      <w:tr w14:paraId="6DA0F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vAlign w:val="center"/>
          </w:tcPr>
          <w:p w14:paraId="25D96E5E">
            <w:pPr>
              <w:adjustRightInd w:val="0"/>
              <w:snapToGrid w:val="0"/>
              <w:spacing w:line="440" w:lineRule="exact"/>
              <w:jc w:val="center"/>
              <w:rPr>
                <w:rFonts w:ascii="宋体" w:hAnsi="宋体" w:cstheme="minorEastAsia"/>
                <w:b/>
                <w:color w:val="000000" w:themeColor="text1"/>
                <w:szCs w:val="21"/>
                <w14:textFill>
                  <w14:solidFill>
                    <w14:schemeClr w14:val="tx1"/>
                  </w14:solidFill>
                </w14:textFill>
              </w:rPr>
            </w:pPr>
            <w:r>
              <w:rPr>
                <w:rFonts w:hint="eastAsia" w:ascii="宋体" w:hAnsi="宋体" w:cstheme="minorEastAsia"/>
                <w:b/>
                <w:color w:val="000000" w:themeColor="text1"/>
                <w:szCs w:val="21"/>
                <w14:textFill>
                  <w14:solidFill>
                    <w14:schemeClr w14:val="tx1"/>
                  </w14:solidFill>
                </w14:textFill>
              </w:rPr>
              <w:t>管理报告</w:t>
            </w:r>
          </w:p>
          <w:p w14:paraId="216BDF19">
            <w:pPr>
              <w:adjustRightInd w:val="0"/>
              <w:snapToGrid w:val="0"/>
              <w:spacing w:line="440" w:lineRule="exact"/>
              <w:jc w:val="center"/>
              <w:rPr>
                <w:rFonts w:ascii="宋体" w:hAnsi="宋体" w:cstheme="minorEastAsia"/>
                <w:b/>
                <w:color w:val="000000" w:themeColor="text1"/>
                <w:szCs w:val="21"/>
                <w14:textFill>
                  <w14:solidFill>
                    <w14:schemeClr w14:val="tx1"/>
                  </w14:solidFill>
                </w14:textFill>
              </w:rPr>
            </w:pPr>
            <w:r>
              <w:rPr>
                <w:rFonts w:hint="eastAsia" w:ascii="宋体" w:hAnsi="宋体" w:cstheme="minorEastAsia"/>
                <w:b/>
                <w:color w:val="000000" w:themeColor="text1"/>
                <w:szCs w:val="21"/>
                <w14:textFill>
                  <w14:solidFill>
                    <w14:schemeClr w14:val="tx1"/>
                  </w14:solidFill>
                </w14:textFill>
              </w:rPr>
              <w:t>（6分）</w:t>
            </w:r>
          </w:p>
        </w:tc>
        <w:tc>
          <w:tcPr>
            <w:tcW w:w="8480" w:type="dxa"/>
          </w:tcPr>
          <w:p w14:paraId="425A787B">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投标人每季度向医院管理部门提供管理报告：配件清单、耗材清单、各类问题处理、维修保养记录、改善建议等。</w:t>
            </w:r>
          </w:p>
          <w:p w14:paraId="23CCDB94">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1、方案科学、严密、合理，描述详细且具有针对性的得6分；</w:t>
            </w:r>
          </w:p>
          <w:p w14:paraId="05108EE4">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2、方案较科学、严密、合理，描述较详细，较有针对性的得4分；</w:t>
            </w:r>
          </w:p>
          <w:p w14:paraId="6746774D">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3、方案基本科学、严密、合理，描述基本详细，基本有针对性的得2分；</w:t>
            </w:r>
          </w:p>
          <w:p w14:paraId="155BA0D6">
            <w:pPr>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4、方案不科学、严密、合理，描述不详细，无针对性的得1分；</w:t>
            </w:r>
          </w:p>
          <w:p w14:paraId="7735FFBD">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5、其他不得分。</w:t>
            </w:r>
          </w:p>
        </w:tc>
      </w:tr>
      <w:tr w14:paraId="0669F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vAlign w:val="center"/>
          </w:tcPr>
          <w:p w14:paraId="53864B23">
            <w:pPr>
              <w:snapToGrid w:val="0"/>
              <w:spacing w:line="440" w:lineRule="exact"/>
              <w:jc w:val="center"/>
              <w:rPr>
                <w:rFonts w:ascii="宋体" w:hAnsi="宋体" w:cstheme="minorEastAsia"/>
                <w:b/>
                <w:color w:val="000000" w:themeColor="text1"/>
                <w:szCs w:val="21"/>
                <w14:textFill>
                  <w14:solidFill>
                    <w14:schemeClr w14:val="tx1"/>
                  </w14:solidFill>
                </w14:textFill>
              </w:rPr>
            </w:pPr>
            <w:r>
              <w:rPr>
                <w:rFonts w:hint="eastAsia" w:ascii="宋体" w:hAnsi="宋体" w:cstheme="minorEastAsia"/>
                <w:b/>
                <w:color w:val="000000" w:themeColor="text1"/>
                <w:szCs w:val="21"/>
                <w14:textFill>
                  <w14:solidFill>
                    <w14:schemeClr w14:val="tx1"/>
                  </w14:solidFill>
                </w14:textFill>
              </w:rPr>
              <w:t>服务业绩</w:t>
            </w:r>
          </w:p>
          <w:p w14:paraId="61FD5D8C">
            <w:pPr>
              <w:snapToGrid w:val="0"/>
              <w:spacing w:line="440" w:lineRule="exact"/>
              <w:jc w:val="center"/>
              <w:rPr>
                <w:rFonts w:ascii="宋体" w:hAnsi="宋体" w:cstheme="minorEastAsia"/>
                <w:b/>
                <w:color w:val="000000" w:themeColor="text1"/>
                <w:szCs w:val="21"/>
                <w14:textFill>
                  <w14:solidFill>
                    <w14:schemeClr w14:val="tx1"/>
                  </w14:solidFill>
                </w14:textFill>
              </w:rPr>
            </w:pPr>
            <w:r>
              <w:rPr>
                <w:rFonts w:hint="eastAsia" w:ascii="宋体" w:hAnsi="宋体" w:cstheme="minorEastAsia"/>
                <w:b/>
                <w:color w:val="000000" w:themeColor="text1"/>
                <w:szCs w:val="21"/>
                <w14:textFill>
                  <w14:solidFill>
                    <w14:schemeClr w14:val="tx1"/>
                  </w14:solidFill>
                </w14:textFill>
              </w:rPr>
              <w:t>（</w:t>
            </w:r>
            <w:r>
              <w:rPr>
                <w:rFonts w:hint="eastAsia" w:ascii="宋体" w:hAnsi="宋体" w:cstheme="minorEastAsia"/>
                <w:b/>
                <w:color w:val="000000" w:themeColor="text1"/>
                <w:szCs w:val="21"/>
                <w:lang w:val="en-US" w:eastAsia="zh-CN"/>
                <w14:textFill>
                  <w14:solidFill>
                    <w14:schemeClr w14:val="tx1"/>
                  </w14:solidFill>
                </w14:textFill>
              </w:rPr>
              <w:t>10</w:t>
            </w:r>
            <w:r>
              <w:rPr>
                <w:rFonts w:hint="eastAsia" w:ascii="宋体" w:hAnsi="宋体" w:cstheme="minorEastAsia"/>
                <w:b/>
                <w:color w:val="000000" w:themeColor="text1"/>
                <w:szCs w:val="21"/>
                <w14:textFill>
                  <w14:solidFill>
                    <w14:schemeClr w14:val="tx1"/>
                  </w14:solidFill>
                </w14:textFill>
              </w:rPr>
              <w:t>分）</w:t>
            </w:r>
          </w:p>
        </w:tc>
        <w:tc>
          <w:tcPr>
            <w:tcW w:w="8480" w:type="dxa"/>
          </w:tcPr>
          <w:p w14:paraId="4FFAA9E9">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自2023年1月1日至今（以合同签订日期为准），投标人具有类似项目业绩的，每提供1份得2分，满分</w:t>
            </w:r>
            <w:r>
              <w:rPr>
                <w:rFonts w:hint="eastAsia" w:ascii="宋体" w:hAnsi="宋体" w:cstheme="minorEastAsia"/>
                <w:color w:val="000000" w:themeColor="text1"/>
                <w:szCs w:val="21"/>
                <w:lang w:val="en-US" w:eastAsia="zh-CN"/>
                <w14:textFill>
                  <w14:solidFill>
                    <w14:schemeClr w14:val="tx1"/>
                  </w14:solidFill>
                </w14:textFill>
              </w:rPr>
              <w:t>10</w:t>
            </w:r>
            <w:r>
              <w:rPr>
                <w:rFonts w:hint="eastAsia" w:ascii="宋体" w:hAnsi="宋体" w:cstheme="minorEastAsia"/>
                <w:color w:val="000000" w:themeColor="text1"/>
                <w:szCs w:val="21"/>
                <w14:textFill>
                  <w14:solidFill>
                    <w14:schemeClr w14:val="tx1"/>
                  </w14:solidFill>
                </w14:textFill>
              </w:rPr>
              <w:t>分；（</w:t>
            </w:r>
            <w:r>
              <w:rPr>
                <w:rFonts w:hint="eastAsia" w:ascii="宋体" w:hAnsi="宋体"/>
                <w:color w:val="000000" w:themeColor="text1"/>
                <w:szCs w:val="21"/>
                <w:u w:val="single"/>
                <w14:textFill>
                  <w14:solidFill>
                    <w14:schemeClr w14:val="tx1"/>
                  </w14:solidFill>
                </w14:textFill>
              </w:rPr>
              <w:t>自助机、多功能报告机、报到机、候诊屏、诊间屏</w:t>
            </w:r>
            <w:r>
              <w:rPr>
                <w:rFonts w:hint="eastAsia" w:ascii="宋体" w:hAnsi="宋体" w:cstheme="minorEastAsia"/>
                <w:color w:val="000000" w:themeColor="text1"/>
                <w:szCs w:val="21"/>
                <w14:textFill>
                  <w14:solidFill>
                    <w14:schemeClr w14:val="tx1"/>
                  </w14:solidFill>
                </w14:textFill>
              </w:rPr>
              <w:t xml:space="preserve"> 等相类似业绩，每一类最多计4分）</w:t>
            </w:r>
          </w:p>
          <w:p w14:paraId="5E55389E">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b/>
                <w:bCs/>
                <w:color w:val="000000" w:themeColor="text1"/>
                <w:szCs w:val="21"/>
                <w14:textFill>
                  <w14:solidFill>
                    <w14:schemeClr w14:val="tx1"/>
                  </w14:solidFill>
                </w14:textFill>
              </w:rPr>
              <w:t>注：各供应商</w:t>
            </w:r>
            <w:r>
              <w:rPr>
                <w:rFonts w:hint="eastAsia" w:ascii="宋体" w:hAnsi="宋体" w:cstheme="minorEastAsia"/>
                <w:b/>
                <w:color w:val="000000" w:themeColor="text1"/>
                <w:szCs w:val="21"/>
                <w14:textFill>
                  <w14:solidFill>
                    <w14:schemeClr w14:val="tx1"/>
                  </w14:solidFill>
                </w14:textFill>
              </w:rPr>
              <w:t>须</w:t>
            </w:r>
            <w:r>
              <w:rPr>
                <w:rFonts w:hint="eastAsia" w:ascii="宋体" w:hAnsi="宋体" w:cstheme="minorEastAsia"/>
                <w:b/>
                <w:bCs/>
                <w:color w:val="000000" w:themeColor="text1"/>
                <w:szCs w:val="21"/>
                <w14:textFill>
                  <w14:solidFill>
                    <w14:schemeClr w14:val="tx1"/>
                  </w14:solidFill>
                </w14:textFill>
              </w:rPr>
              <w:t>提供合同复印件和对应的发票复印件加盖投标人公章，原件备查，无原件不得分。</w:t>
            </w:r>
          </w:p>
        </w:tc>
      </w:tr>
      <w:tr w14:paraId="4603C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vAlign w:val="center"/>
          </w:tcPr>
          <w:p w14:paraId="29663926">
            <w:pPr>
              <w:snapToGrid w:val="0"/>
              <w:spacing w:line="440" w:lineRule="exact"/>
              <w:jc w:val="center"/>
              <w:rPr>
                <w:rFonts w:ascii="宋体" w:hAnsi="宋体" w:cstheme="minorEastAsia"/>
                <w:b/>
                <w:color w:val="000000" w:themeColor="text1"/>
                <w:szCs w:val="21"/>
                <w14:textFill>
                  <w14:solidFill>
                    <w14:schemeClr w14:val="tx1"/>
                  </w14:solidFill>
                </w14:textFill>
              </w:rPr>
            </w:pPr>
            <w:r>
              <w:rPr>
                <w:rFonts w:hint="eastAsia" w:ascii="宋体" w:hAnsi="宋体" w:cstheme="minorEastAsia"/>
                <w:b/>
                <w:color w:val="000000" w:themeColor="text1"/>
                <w:szCs w:val="21"/>
                <w14:textFill>
                  <w14:solidFill>
                    <w14:schemeClr w14:val="tx1"/>
                  </w14:solidFill>
                </w14:textFill>
              </w:rPr>
              <w:t>企业实力</w:t>
            </w:r>
          </w:p>
          <w:p w14:paraId="51AB33FB">
            <w:pPr>
              <w:snapToGrid w:val="0"/>
              <w:spacing w:line="440" w:lineRule="exact"/>
              <w:jc w:val="center"/>
              <w:rPr>
                <w:rFonts w:ascii="宋体" w:hAnsi="宋体" w:cstheme="minorEastAsia"/>
                <w:color w:val="000000" w:themeColor="text1"/>
                <w:szCs w:val="21"/>
                <w14:textFill>
                  <w14:solidFill>
                    <w14:schemeClr w14:val="tx1"/>
                  </w14:solidFill>
                </w14:textFill>
              </w:rPr>
            </w:pPr>
            <w:r>
              <w:rPr>
                <w:rFonts w:hint="eastAsia" w:ascii="宋体" w:hAnsi="宋体" w:cstheme="minorEastAsia"/>
                <w:b/>
                <w:color w:val="000000" w:themeColor="text1"/>
                <w:szCs w:val="21"/>
                <w14:textFill>
                  <w14:solidFill>
                    <w14:schemeClr w14:val="tx1"/>
                  </w14:solidFill>
                </w14:textFill>
              </w:rPr>
              <w:t>（</w:t>
            </w:r>
            <w:r>
              <w:rPr>
                <w:rFonts w:hint="eastAsia" w:ascii="宋体" w:hAnsi="宋体" w:cstheme="minorEastAsia"/>
                <w:b/>
                <w:color w:val="000000" w:themeColor="text1"/>
                <w:szCs w:val="21"/>
                <w:lang w:val="en-US" w:eastAsia="zh-CN"/>
                <w14:textFill>
                  <w14:solidFill>
                    <w14:schemeClr w14:val="tx1"/>
                  </w14:solidFill>
                </w14:textFill>
              </w:rPr>
              <w:t>16</w:t>
            </w:r>
            <w:r>
              <w:rPr>
                <w:rFonts w:hint="eastAsia" w:ascii="宋体" w:hAnsi="宋体" w:cstheme="minorEastAsia"/>
                <w:b/>
                <w:color w:val="000000" w:themeColor="text1"/>
                <w:szCs w:val="21"/>
                <w14:textFill>
                  <w14:solidFill>
                    <w14:schemeClr w14:val="tx1"/>
                  </w14:solidFill>
                </w14:textFill>
              </w:rPr>
              <w:t>分）</w:t>
            </w:r>
          </w:p>
        </w:tc>
        <w:tc>
          <w:tcPr>
            <w:tcW w:w="8480" w:type="dxa"/>
          </w:tcPr>
          <w:p w14:paraId="2FF60178">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1、投标人具有ITSS运行维护三级及以上认证证书、信息安全管理体系认证证书、</w:t>
            </w:r>
            <w:r>
              <w:rPr>
                <w:rFonts w:hint="eastAsia" w:ascii="宋体" w:hAnsi="宋体" w:cs="宋体"/>
                <w:color w:val="000000"/>
                <w:kern w:val="0"/>
                <w:szCs w:val="21"/>
              </w:rPr>
              <w:t>职业健康安全管理体系认证证书、</w:t>
            </w:r>
            <w:r>
              <w:rPr>
                <w:rFonts w:hint="eastAsia" w:ascii="宋体" w:hAnsi="宋体" w:cstheme="minorEastAsia"/>
                <w:color w:val="000000" w:themeColor="text1"/>
                <w:szCs w:val="21"/>
                <w14:textFill>
                  <w14:solidFill>
                    <w14:schemeClr w14:val="tx1"/>
                  </w14:solidFill>
                </w14:textFill>
              </w:rPr>
              <w:t>五星服务认证证书</w:t>
            </w:r>
            <w:r>
              <w:rPr>
                <w:rFonts w:hint="eastAsia" w:ascii="宋体" w:hAnsi="宋体" w:cs="宋体"/>
                <w:color w:val="000000"/>
                <w:kern w:val="0"/>
                <w:szCs w:val="21"/>
              </w:rPr>
              <w:t>信息、信息技术服务管理体系认证证书</w:t>
            </w:r>
            <w:r>
              <w:rPr>
                <w:rFonts w:hint="eastAsia" w:ascii="宋体" w:hAnsi="宋体" w:cstheme="minorEastAsia"/>
                <w:color w:val="000000" w:themeColor="text1"/>
                <w:szCs w:val="21"/>
                <w14:textFill>
                  <w14:solidFill>
                    <w14:schemeClr w14:val="tx1"/>
                  </w14:solidFill>
                </w14:textFill>
              </w:rPr>
              <w:t>的，每提供一份有效期内的证书得</w:t>
            </w:r>
            <w:r>
              <w:rPr>
                <w:rFonts w:hint="eastAsia" w:ascii="宋体" w:hAnsi="宋体" w:cstheme="minorEastAsia"/>
                <w:color w:val="000000" w:themeColor="text1"/>
                <w:szCs w:val="21"/>
                <w:lang w:val="en-US" w:eastAsia="zh-CN"/>
                <w14:textFill>
                  <w14:solidFill>
                    <w14:schemeClr w14:val="tx1"/>
                  </w14:solidFill>
                </w14:textFill>
              </w:rPr>
              <w:t>2</w:t>
            </w:r>
            <w:r>
              <w:rPr>
                <w:rFonts w:hint="eastAsia" w:ascii="宋体" w:hAnsi="宋体" w:cstheme="minorEastAsia"/>
                <w:color w:val="000000" w:themeColor="text1"/>
                <w:szCs w:val="21"/>
                <w14:textFill>
                  <w14:solidFill>
                    <w14:schemeClr w14:val="tx1"/>
                  </w14:solidFill>
                </w14:textFill>
              </w:rPr>
              <w:t>分，满分</w:t>
            </w:r>
            <w:r>
              <w:rPr>
                <w:rFonts w:hint="eastAsia" w:ascii="宋体" w:hAnsi="宋体" w:cstheme="minorEastAsia"/>
                <w:color w:val="000000" w:themeColor="text1"/>
                <w:szCs w:val="21"/>
                <w:lang w:val="en-US" w:eastAsia="zh-CN"/>
                <w14:textFill>
                  <w14:solidFill>
                    <w14:schemeClr w14:val="tx1"/>
                  </w14:solidFill>
                </w14:textFill>
              </w:rPr>
              <w:t>10</w:t>
            </w:r>
            <w:r>
              <w:rPr>
                <w:rFonts w:hint="eastAsia" w:ascii="宋体" w:hAnsi="宋体" w:cstheme="minorEastAsia"/>
                <w:color w:val="000000" w:themeColor="text1"/>
                <w:szCs w:val="21"/>
                <w14:textFill>
                  <w14:solidFill>
                    <w14:schemeClr w14:val="tx1"/>
                  </w14:solidFill>
                </w14:textFill>
              </w:rPr>
              <w:t>分；</w:t>
            </w:r>
          </w:p>
          <w:p w14:paraId="0BA337E8">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2、投标人拟派本项目组成员中具有PMP项目管理师证书或者ITSS项目经理证书的，每提供一份有效证书得</w:t>
            </w:r>
            <w:r>
              <w:rPr>
                <w:rFonts w:hint="eastAsia" w:ascii="宋体" w:hAnsi="宋体" w:cstheme="minorEastAsia"/>
                <w:color w:val="000000" w:themeColor="text1"/>
                <w:szCs w:val="21"/>
                <w:lang w:val="en-US" w:eastAsia="zh-CN"/>
                <w14:textFill>
                  <w14:solidFill>
                    <w14:schemeClr w14:val="tx1"/>
                  </w14:solidFill>
                </w14:textFill>
              </w:rPr>
              <w:t>2</w:t>
            </w:r>
            <w:r>
              <w:rPr>
                <w:rFonts w:hint="eastAsia" w:ascii="宋体" w:hAnsi="宋体" w:cstheme="minorEastAsia"/>
                <w:color w:val="000000" w:themeColor="text1"/>
                <w:szCs w:val="21"/>
                <w14:textFill>
                  <w14:solidFill>
                    <w14:schemeClr w14:val="tx1"/>
                  </w14:solidFill>
                </w14:textFill>
              </w:rPr>
              <w:t>分，满分</w:t>
            </w:r>
            <w:r>
              <w:rPr>
                <w:rFonts w:hint="eastAsia" w:ascii="宋体" w:hAnsi="宋体" w:cstheme="minorEastAsia"/>
                <w:color w:val="000000" w:themeColor="text1"/>
                <w:szCs w:val="21"/>
                <w:lang w:val="en-US" w:eastAsia="zh-CN"/>
                <w14:textFill>
                  <w14:solidFill>
                    <w14:schemeClr w14:val="tx1"/>
                  </w14:solidFill>
                </w14:textFill>
              </w:rPr>
              <w:t>4</w:t>
            </w:r>
            <w:r>
              <w:rPr>
                <w:rFonts w:hint="eastAsia" w:ascii="宋体" w:hAnsi="宋体" w:cstheme="minorEastAsia"/>
                <w:color w:val="000000" w:themeColor="text1"/>
                <w:szCs w:val="21"/>
                <w14:textFill>
                  <w14:solidFill>
                    <w14:schemeClr w14:val="tx1"/>
                  </w14:solidFill>
                </w14:textFill>
              </w:rPr>
              <w:t>分。</w:t>
            </w:r>
          </w:p>
          <w:p w14:paraId="0FA4748F">
            <w:pPr>
              <w:pStyle w:val="23"/>
              <w:ind w:firstLine="0" w:firstLineChars="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3、投标人具有自主IT运维管理工具软件的（至少包括扫码报修、终端地理位置显示、满意度评价等功能），提供一份有效软件著作权证书，得</w:t>
            </w:r>
            <w:r>
              <w:rPr>
                <w:rFonts w:hint="eastAsia" w:ascii="宋体" w:hAnsi="宋体"/>
                <w:color w:val="000000" w:themeColor="text1"/>
                <w:szCs w:val="21"/>
                <w:lang w:val="en-US" w:eastAsia="zh-CN"/>
                <w14:textFill>
                  <w14:solidFill>
                    <w14:schemeClr w14:val="tx1"/>
                  </w14:solidFill>
                </w14:textFill>
              </w:rPr>
              <w:t>2</w:t>
            </w:r>
            <w:r>
              <w:rPr>
                <w:rFonts w:hint="eastAsia" w:ascii="宋体" w:hAnsi="宋体"/>
                <w:color w:val="000000" w:themeColor="text1"/>
                <w:szCs w:val="21"/>
                <w14:textFill>
                  <w14:solidFill>
                    <w14:schemeClr w14:val="tx1"/>
                  </w14:solidFill>
                </w14:textFill>
              </w:rPr>
              <w:t>分，满分</w:t>
            </w:r>
            <w:r>
              <w:rPr>
                <w:rFonts w:hint="eastAsia" w:ascii="宋体" w:hAnsi="宋体"/>
                <w:color w:val="000000" w:themeColor="text1"/>
                <w:szCs w:val="21"/>
                <w:lang w:val="en-US" w:eastAsia="zh-CN"/>
                <w14:textFill>
                  <w14:solidFill>
                    <w14:schemeClr w14:val="tx1"/>
                  </w14:solidFill>
                </w14:textFill>
              </w:rPr>
              <w:t>2</w:t>
            </w:r>
            <w:bookmarkStart w:id="0" w:name="_GoBack"/>
            <w:bookmarkEnd w:id="0"/>
            <w:r>
              <w:rPr>
                <w:rFonts w:hint="eastAsia" w:ascii="宋体" w:hAnsi="宋体"/>
                <w:color w:val="000000" w:themeColor="text1"/>
                <w:szCs w:val="21"/>
                <w14:textFill>
                  <w14:solidFill>
                    <w14:schemeClr w14:val="tx1"/>
                  </w14:solidFill>
                </w14:textFill>
              </w:rPr>
              <w:t>分。</w:t>
            </w:r>
          </w:p>
          <w:p w14:paraId="33184B0C">
            <w:pPr>
              <w:spacing w:line="440" w:lineRule="exact"/>
              <w:rPr>
                <w:rFonts w:ascii="宋体" w:hAnsi="宋体" w:cstheme="minorEastAsia"/>
                <w:b/>
                <w:color w:val="000000" w:themeColor="text1"/>
                <w:szCs w:val="21"/>
                <w14:textFill>
                  <w14:solidFill>
                    <w14:schemeClr w14:val="tx1"/>
                  </w14:solidFill>
                </w14:textFill>
              </w:rPr>
            </w:pPr>
            <w:r>
              <w:rPr>
                <w:rFonts w:hint="eastAsia" w:ascii="宋体" w:hAnsi="宋体" w:cstheme="minorEastAsia"/>
                <w:b/>
                <w:color w:val="000000" w:themeColor="text1"/>
                <w:szCs w:val="21"/>
                <w14:textFill>
                  <w14:solidFill>
                    <w14:schemeClr w14:val="tx1"/>
                  </w14:solidFill>
                </w14:textFill>
              </w:rPr>
              <w:t>注：1、各供应商须提供有效证书或相关证明材料复印件加盖供应商公章，原件备查</w:t>
            </w:r>
            <w:r>
              <w:rPr>
                <w:rFonts w:hint="eastAsia" w:ascii="宋体" w:hAnsi="宋体" w:cstheme="minorEastAsia"/>
                <w:b/>
                <w:bCs/>
                <w:color w:val="000000" w:themeColor="text1"/>
                <w:szCs w:val="21"/>
                <w14:textFill>
                  <w14:solidFill>
                    <w14:schemeClr w14:val="tx1"/>
                  </w14:solidFill>
                </w14:textFill>
              </w:rPr>
              <w:t>，无原件不得分。</w:t>
            </w:r>
            <w:r>
              <w:rPr>
                <w:rFonts w:hint="eastAsia" w:ascii="宋体" w:hAnsi="宋体" w:cstheme="minorEastAsia"/>
                <w:b/>
                <w:color w:val="000000" w:themeColor="text1"/>
                <w:kern w:val="0"/>
                <w:szCs w:val="21"/>
                <w14:textFill>
                  <w14:solidFill>
                    <w14:schemeClr w14:val="tx1"/>
                  </w14:solidFill>
                </w14:textFill>
              </w:rPr>
              <w:t>2、供应商提供上述第2项拟投入人员的相关证书，同时需提供供应商为该服务人员缴纳的近三个月任意一个月的社保证明材料）</w:t>
            </w:r>
          </w:p>
        </w:tc>
      </w:tr>
    </w:tbl>
    <w:p w14:paraId="1B188E42">
      <w:pPr>
        <w:rPr>
          <w:rFonts w:ascii="宋体" w:hAnsi="宋体"/>
          <w:color w:val="000000" w:themeColor="text1"/>
          <w14:textFill>
            <w14:solidFill>
              <w14:schemeClr w14:val="tx1"/>
            </w14:solidFill>
          </w14:textFill>
        </w:rPr>
      </w:pPr>
    </w:p>
    <w:p w14:paraId="18163DF0">
      <w:pPr>
        <w:pStyle w:val="23"/>
        <w:ind w:firstLine="0" w:firstLineChars="0"/>
        <w:rPr>
          <w:rFonts w:ascii="宋体" w:hAnsi="宋体"/>
          <w:b/>
          <w:color w:val="000000" w:themeColor="text1"/>
          <w14:textFill>
            <w14:solidFill>
              <w14:schemeClr w14:val="tx1"/>
            </w14:solidFill>
          </w14:textFill>
        </w:rPr>
      </w:pPr>
    </w:p>
    <w:p w14:paraId="2852F05D">
      <w:pPr>
        <w:rPr>
          <w:rFonts w:ascii="宋体" w:hAnsi="宋体"/>
          <w:color w:val="000000" w:themeColor="text1"/>
          <w14:textFill>
            <w14:solidFill>
              <w14:schemeClr w14:val="tx1"/>
            </w14:solidFill>
          </w14:textFill>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B2C84">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68D75E">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068D75E">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8E0872"/>
    <w:multiLevelType w:val="singleLevel"/>
    <w:tmpl w:val="F48E0872"/>
    <w:lvl w:ilvl="0" w:tentative="0">
      <w:start w:val="1"/>
      <w:numFmt w:val="decimal"/>
      <w:suff w:val="nothing"/>
      <w:lvlText w:val="（%1）"/>
      <w:lvlJc w:val="left"/>
    </w:lvl>
  </w:abstractNum>
  <w:abstractNum w:abstractNumId="1">
    <w:nsid w:val="293515DD"/>
    <w:multiLevelType w:val="multilevel"/>
    <w:tmpl w:val="293515DD"/>
    <w:lvl w:ilvl="0" w:tentative="0">
      <w:start w:val="1"/>
      <w:numFmt w:val="bullet"/>
      <w:pStyle w:val="4"/>
      <w:lvlText w:val=""/>
      <w:lvlJc w:val="left"/>
      <w:pPr>
        <w:ind w:left="420" w:hanging="420"/>
      </w:pPr>
      <w:rPr>
        <w:rFonts w:hint="default" w:ascii="Wingdings" w:hAnsi="Wingdings" w:eastAsia="宋体"/>
        <w:b/>
        <w:i w:val="0"/>
        <w:sz w:val="2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5EED69C6"/>
    <w:multiLevelType w:val="multilevel"/>
    <w:tmpl w:val="5EED69C6"/>
    <w:lvl w:ilvl="0" w:tentative="0">
      <w:start w:val="1"/>
      <w:numFmt w:val="chineseCountingThousand"/>
      <w:pStyle w:val="3"/>
      <w:lvlText w:val="%1、"/>
      <w:lvlJc w:val="center"/>
      <w:pPr>
        <w:ind w:left="420" w:hanging="420"/>
      </w:pPr>
      <w:rPr>
        <w:rFonts w:hint="default" w:ascii="Times New Roman" w:hAnsi="Times New Roman" w:eastAsia="宋体" w:cs="Times New Roman"/>
        <w:b/>
        <w:bCs w:val="0"/>
        <w:i w:val="0"/>
        <w:iCs w:val="0"/>
        <w:caps w:val="0"/>
        <w:strike w:val="0"/>
        <w:dstrike w:val="0"/>
        <w:vanish w:val="0"/>
        <w:color w:val="000000"/>
        <w:spacing w:val="0"/>
        <w:position w:val="0"/>
        <w:sz w:val="28"/>
        <w:u w:val="none"/>
        <w:vertAlign w:val="baseline"/>
        <w14:shadow w14:blurRad="0" w14:dist="0" w14:dir="0" w14:sx="0" w14:sy="0" w14:kx="0" w14:ky="0" w14:algn="none">
          <w14:srgbClr w14:val="000000"/>
        </w14:shadow>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659"/>
    <w:rsid w:val="000234A8"/>
    <w:rsid w:val="00082F3B"/>
    <w:rsid w:val="0010599D"/>
    <w:rsid w:val="001133B6"/>
    <w:rsid w:val="001E42CD"/>
    <w:rsid w:val="00201D22"/>
    <w:rsid w:val="0020551B"/>
    <w:rsid w:val="00353CEE"/>
    <w:rsid w:val="0040503D"/>
    <w:rsid w:val="00471AEB"/>
    <w:rsid w:val="005F78A8"/>
    <w:rsid w:val="0062587D"/>
    <w:rsid w:val="006F4A1A"/>
    <w:rsid w:val="00701142"/>
    <w:rsid w:val="0074405F"/>
    <w:rsid w:val="00846C1A"/>
    <w:rsid w:val="008D5F64"/>
    <w:rsid w:val="00906659"/>
    <w:rsid w:val="0098730E"/>
    <w:rsid w:val="009A482B"/>
    <w:rsid w:val="00A40030"/>
    <w:rsid w:val="00A568C5"/>
    <w:rsid w:val="00B32AFC"/>
    <w:rsid w:val="00CB0AD0"/>
    <w:rsid w:val="00CE37A6"/>
    <w:rsid w:val="00CF2006"/>
    <w:rsid w:val="00D55442"/>
    <w:rsid w:val="00D65E80"/>
    <w:rsid w:val="00DA477E"/>
    <w:rsid w:val="00DC5F78"/>
    <w:rsid w:val="00E021C7"/>
    <w:rsid w:val="00F10965"/>
    <w:rsid w:val="00FD078F"/>
    <w:rsid w:val="04217E99"/>
    <w:rsid w:val="0CC4184E"/>
    <w:rsid w:val="14223453"/>
    <w:rsid w:val="229371BB"/>
    <w:rsid w:val="382A5ACB"/>
    <w:rsid w:val="5B374C1D"/>
    <w:rsid w:val="7E0D3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6"/>
    <w:qFormat/>
    <w:uiPriority w:val="9"/>
    <w:pPr>
      <w:keepNext/>
      <w:keepLines/>
      <w:numPr>
        <w:ilvl w:val="0"/>
        <w:numId w:val="1"/>
      </w:numPr>
      <w:spacing w:line="360" w:lineRule="auto"/>
      <w:jc w:val="center"/>
      <w:outlineLvl w:val="0"/>
    </w:pPr>
    <w:rPr>
      <w:b/>
      <w:bCs/>
      <w:kern w:val="44"/>
      <w:sz w:val="28"/>
      <w:szCs w:val="44"/>
    </w:rPr>
  </w:style>
  <w:style w:type="paragraph" w:styleId="4">
    <w:name w:val="heading 2"/>
    <w:basedOn w:val="1"/>
    <w:next w:val="1"/>
    <w:link w:val="17"/>
    <w:unhideWhenUsed/>
    <w:qFormat/>
    <w:uiPriority w:val="9"/>
    <w:pPr>
      <w:keepNext/>
      <w:keepLines/>
      <w:numPr>
        <w:ilvl w:val="0"/>
        <w:numId w:val="2"/>
      </w:numPr>
      <w:spacing w:line="360" w:lineRule="auto"/>
      <w:jc w:val="center"/>
      <w:outlineLvl w:val="1"/>
    </w:pPr>
    <w:rPr>
      <w:rFonts w:asciiTheme="majorHAnsi" w:hAnsiTheme="majorHAnsi" w:eastAsiaTheme="majorEastAsia" w:cstheme="majorBidi"/>
      <w:b/>
      <w:bCs/>
      <w:sz w:val="24"/>
      <w:szCs w:val="32"/>
    </w:rPr>
  </w:style>
  <w:style w:type="paragraph" w:styleId="5">
    <w:name w:val="heading 3"/>
    <w:basedOn w:val="1"/>
    <w:next w:val="1"/>
    <w:link w:val="25"/>
    <w:unhideWhenUsed/>
    <w:qFormat/>
    <w:uiPriority w:val="9"/>
    <w:pPr>
      <w:keepNext/>
      <w:keepLines/>
      <w:spacing w:before="260" w:after="260" w:line="412" w:lineRule="auto"/>
      <w:outlineLvl w:val="2"/>
    </w:pPr>
    <w:rPr>
      <w:rFonts w:cs="宋体"/>
      <w:b/>
      <w:sz w:val="32"/>
      <w:szCs w:val="20"/>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等线" w:hAnsi="等线" w:eastAsia="等线" w:cs="Times New Roman"/>
      <w:color w:val="000000"/>
      <w:kern w:val="0"/>
      <w:sz w:val="24"/>
      <w:szCs w:val="24"/>
      <w:lang w:val="en-US" w:eastAsia="zh-CN" w:bidi="ar-SA"/>
    </w:rPr>
  </w:style>
  <w:style w:type="paragraph" w:styleId="6">
    <w:name w:val="Normal Indent"/>
    <w:basedOn w:val="1"/>
    <w:link w:val="24"/>
    <w:unhideWhenUsed/>
    <w:qFormat/>
    <w:uiPriority w:val="99"/>
    <w:pPr>
      <w:ind w:firstLine="420" w:firstLineChars="200"/>
    </w:pPr>
  </w:style>
  <w:style w:type="paragraph" w:styleId="7">
    <w:name w:val="Body Text"/>
    <w:basedOn w:val="1"/>
    <w:link w:val="26"/>
    <w:semiHidden/>
    <w:unhideWhenUsed/>
    <w:qFormat/>
    <w:uiPriority w:val="99"/>
    <w:pPr>
      <w:jc w:val="left"/>
    </w:pPr>
    <w:rPr>
      <w:rFonts w:ascii="楷体_GB2312" w:hAnsi="华文楷体" w:eastAsia="楷体_GB2312"/>
      <w:sz w:val="28"/>
      <w:szCs w:val="28"/>
    </w:rPr>
  </w:style>
  <w:style w:type="paragraph" w:styleId="8">
    <w:name w:val="toc 3"/>
    <w:basedOn w:val="1"/>
    <w:next w:val="1"/>
    <w:autoRedefine/>
    <w:semiHidden/>
    <w:unhideWhenUsed/>
    <w:qFormat/>
    <w:uiPriority w:val="39"/>
    <w:pPr>
      <w:widowControl/>
      <w:spacing w:after="100" w:line="276" w:lineRule="auto"/>
      <w:ind w:left="440"/>
      <w:jc w:val="left"/>
    </w:pPr>
    <w:rPr>
      <w:rFonts w:asciiTheme="minorHAnsi" w:hAnsiTheme="minorHAnsi" w:eastAsiaTheme="minorEastAsia"/>
      <w:kern w:val="0"/>
      <w:sz w:val="22"/>
    </w:rPr>
  </w:style>
  <w:style w:type="paragraph" w:styleId="9">
    <w:name w:val="Date"/>
    <w:basedOn w:val="1"/>
    <w:next w:val="1"/>
    <w:link w:val="18"/>
    <w:qFormat/>
    <w:uiPriority w:val="0"/>
    <w:rPr>
      <w:rFonts w:asciiTheme="minorHAnsi" w:hAnsiTheme="minorHAnsi" w:eastAsiaTheme="minorEastAsia"/>
      <w:sz w:val="24"/>
    </w:rPr>
  </w:style>
  <w:style w:type="paragraph" w:styleId="10">
    <w:name w:val="footer"/>
    <w:basedOn w:val="1"/>
    <w:semiHidden/>
    <w:unhideWhenUsed/>
    <w:qFormat/>
    <w:uiPriority w:val="99"/>
    <w:pPr>
      <w:tabs>
        <w:tab w:val="center" w:pos="4153"/>
        <w:tab w:val="right" w:pos="8306"/>
      </w:tabs>
      <w:snapToGrid w:val="0"/>
      <w:jc w:val="left"/>
    </w:pPr>
    <w:rPr>
      <w:sz w:val="18"/>
    </w:rPr>
  </w:style>
  <w:style w:type="paragraph" w:styleId="11">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autoRedefine/>
    <w:unhideWhenUsed/>
    <w:qFormat/>
    <w:uiPriority w:val="39"/>
    <w:pPr>
      <w:spacing w:line="360" w:lineRule="auto"/>
    </w:pPr>
    <w:rPr>
      <w:sz w:val="24"/>
    </w:rPr>
  </w:style>
  <w:style w:type="paragraph" w:styleId="13">
    <w:name w:val="toc 2"/>
    <w:basedOn w:val="1"/>
    <w:next w:val="1"/>
    <w:autoRedefine/>
    <w:unhideWhenUsed/>
    <w:qFormat/>
    <w:uiPriority w:val="39"/>
    <w:pPr>
      <w:spacing w:line="360" w:lineRule="auto"/>
      <w:ind w:left="200" w:leftChars="200"/>
    </w:pPr>
    <w:rPr>
      <w:sz w:val="24"/>
    </w:rPr>
  </w:style>
  <w:style w:type="character" w:customStyle="1" w:styleId="16">
    <w:name w:val="标题 1 字符"/>
    <w:basedOn w:val="15"/>
    <w:link w:val="3"/>
    <w:qFormat/>
    <w:uiPriority w:val="9"/>
    <w:rPr>
      <w:rFonts w:ascii="Times New Roman" w:hAnsi="Times New Roman" w:eastAsia="宋体" w:cs="Times New Roman"/>
      <w:b/>
      <w:bCs/>
      <w:kern w:val="44"/>
      <w:sz w:val="28"/>
      <w:szCs w:val="44"/>
    </w:rPr>
  </w:style>
  <w:style w:type="character" w:customStyle="1" w:styleId="17">
    <w:name w:val="标题 2 字符"/>
    <w:basedOn w:val="15"/>
    <w:link w:val="4"/>
    <w:qFormat/>
    <w:uiPriority w:val="9"/>
    <w:rPr>
      <w:rFonts w:asciiTheme="majorHAnsi" w:hAnsiTheme="majorHAnsi" w:eastAsiaTheme="majorEastAsia" w:cstheme="majorBidi"/>
      <w:b/>
      <w:bCs/>
      <w:sz w:val="24"/>
      <w:szCs w:val="32"/>
    </w:rPr>
  </w:style>
  <w:style w:type="character" w:customStyle="1" w:styleId="18">
    <w:name w:val="日期 字符"/>
    <w:link w:val="9"/>
    <w:qFormat/>
    <w:uiPriority w:val="0"/>
    <w:rPr>
      <w:sz w:val="24"/>
    </w:rPr>
  </w:style>
  <w:style w:type="paragraph" w:styleId="19">
    <w:name w:val="List Paragraph"/>
    <w:basedOn w:val="1"/>
    <w:qFormat/>
    <w:uiPriority w:val="34"/>
    <w:pPr>
      <w:ind w:firstLine="420" w:firstLineChars="200"/>
    </w:pPr>
  </w:style>
  <w:style w:type="paragraph" w:customStyle="1" w:styleId="20">
    <w:name w:val="TOC Heading"/>
    <w:basedOn w:val="3"/>
    <w:next w:val="1"/>
    <w:semiHidden/>
    <w:unhideWhenUsed/>
    <w:qFormat/>
    <w:uiPriority w:val="39"/>
    <w:pPr>
      <w:widowControl/>
      <w:numPr>
        <w:numId w:val="0"/>
      </w:numPr>
      <w:spacing w:before="480" w:line="276" w:lineRule="auto"/>
      <w:jc w:val="left"/>
      <w:outlineLvl w:val="9"/>
    </w:pPr>
    <w:rPr>
      <w:rFonts w:asciiTheme="majorHAnsi" w:hAnsiTheme="majorHAnsi" w:eastAsiaTheme="majorEastAsia" w:cstheme="majorBidi"/>
      <w:color w:val="376092" w:themeColor="accent1" w:themeShade="BF"/>
      <w:kern w:val="0"/>
      <w:szCs w:val="28"/>
    </w:rPr>
  </w:style>
  <w:style w:type="paragraph" w:customStyle="1" w:styleId="21">
    <w:name w:val="列出段落1"/>
    <w:basedOn w:val="1"/>
    <w:link w:val="22"/>
    <w:qFormat/>
    <w:uiPriority w:val="0"/>
    <w:pPr>
      <w:widowControl/>
      <w:ind w:left="720"/>
      <w:contextualSpacing/>
      <w:jc w:val="left"/>
    </w:pPr>
    <w:rPr>
      <w:rFonts w:asciiTheme="minorHAnsi" w:hAnsiTheme="minorHAnsi" w:eastAsiaTheme="minorEastAsia"/>
      <w:sz w:val="24"/>
      <w:lang w:eastAsia="en-US" w:bidi="en-US"/>
    </w:rPr>
  </w:style>
  <w:style w:type="character" w:customStyle="1" w:styleId="22">
    <w:name w:val="列出段落 Char"/>
    <w:link w:val="21"/>
    <w:qFormat/>
    <w:locked/>
    <w:uiPriority w:val="0"/>
    <w:rPr>
      <w:sz w:val="24"/>
      <w:szCs w:val="24"/>
      <w:lang w:eastAsia="en-US" w:bidi="en-US"/>
    </w:rPr>
  </w:style>
  <w:style w:type="paragraph" w:customStyle="1" w:styleId="23">
    <w:name w:val="正文（缩进）"/>
    <w:basedOn w:val="1"/>
    <w:qFormat/>
    <w:uiPriority w:val="0"/>
    <w:pPr>
      <w:ind w:firstLine="480" w:firstLineChars="200"/>
    </w:pPr>
  </w:style>
  <w:style w:type="character" w:customStyle="1" w:styleId="24">
    <w:name w:val="正文缩进 字符"/>
    <w:link w:val="6"/>
    <w:qFormat/>
    <w:uiPriority w:val="99"/>
    <w:rPr>
      <w:rFonts w:ascii="Times New Roman" w:hAnsi="Times New Roman" w:eastAsia="宋体"/>
    </w:rPr>
  </w:style>
  <w:style w:type="character" w:customStyle="1" w:styleId="25">
    <w:name w:val="标题 3 字符"/>
    <w:basedOn w:val="15"/>
    <w:link w:val="5"/>
    <w:qFormat/>
    <w:uiPriority w:val="9"/>
    <w:rPr>
      <w:rFonts w:ascii="Calibri" w:hAnsi="Calibri" w:eastAsia="宋体" w:cs="宋体"/>
      <w:b/>
      <w:sz w:val="32"/>
      <w:szCs w:val="20"/>
    </w:rPr>
  </w:style>
  <w:style w:type="character" w:customStyle="1" w:styleId="26">
    <w:name w:val="正文文本 字符"/>
    <w:basedOn w:val="15"/>
    <w:link w:val="7"/>
    <w:semiHidden/>
    <w:qFormat/>
    <w:uiPriority w:val="99"/>
    <w:rPr>
      <w:rFonts w:ascii="楷体_GB2312" w:hAnsi="华文楷体" w:eastAsia="楷体_GB2312" w:cs="Times New Roman"/>
      <w:sz w:val="28"/>
      <w:szCs w:val="28"/>
    </w:rPr>
  </w:style>
  <w:style w:type="character" w:customStyle="1" w:styleId="27">
    <w:name w:val="NormalCharacter"/>
    <w:qFormat/>
    <w:uiPriority w:val="0"/>
  </w:style>
  <w:style w:type="paragraph" w:customStyle="1" w:styleId="28">
    <w:name w:val="UserStyle_6"/>
    <w:basedOn w:val="1"/>
    <w:autoRedefine/>
    <w:qFormat/>
    <w:uiPriority w:val="0"/>
    <w:pPr>
      <w:widowControl/>
      <w:textAlignment w:val="baseline"/>
    </w:pPr>
    <w:rPr>
      <w:rFonts w:ascii="宋体" w:hAnsi="宋体"/>
      <w:sz w:val="24"/>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6</Pages>
  <Words>4266</Words>
  <Characters>4368</Characters>
  <Lines>144</Lines>
  <Paragraphs>157</Paragraphs>
  <TotalTime>46</TotalTime>
  <ScaleCrop>false</ScaleCrop>
  <LinksUpToDate>false</LinksUpToDate>
  <CharactersWithSpaces>4372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2026-05-29T04:11:00Z</dcterms:created>
  <dc:creator>HP</dc:creator>
  <cp:lastModifiedBy>艾伦小天使</cp:lastModifiedBy>
  <dcterms:modified xsi:type="dcterms:W3CDTF">2026-06-01T07:55:16Z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eyJoZGlkIjoiYTBhZWI3NWRmZjY0ZGIxMWVjM2QyOTRhYjhiZjJiYWMiLCJ1c2VySWQiOiIzNTEzODI1MDgifQ==</vt:lpwstr>
  </property>
  <property fmtid="{D5CDD505-2E9C-101B-9397-08002B2CF9AE}" pid="3" name="KSOProductBuildVer">
    <vt:lpwstr>2052-12.1.0.26375</vt:lpwstr>
  </property>
  <property fmtid="{D5CDD505-2E9C-101B-9397-08002B2CF9AE}" pid="4" name="ICV">
    <vt:lpwstr>0EBB317427F34E3DB1E8FD239755E041_12</vt:lpwstr>
  </property>
</Properties>
</file>