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E971D">
      <w:pPr>
        <w:adjustRightInd w:val="0"/>
        <w:snapToGrid w:val="0"/>
        <w:spacing w:line="560" w:lineRule="exact"/>
        <w:jc w:val="center"/>
        <w:rPr>
          <w:rFonts w:ascii="宋体" w:hAnsi="宋体" w:cs="仿宋"/>
          <w:spacing w:val="28"/>
          <w:sz w:val="44"/>
          <w:szCs w:val="44"/>
        </w:rPr>
      </w:pPr>
    </w:p>
    <w:p w14:paraId="7A9804FB">
      <w:pPr>
        <w:jc w:val="center"/>
        <w:rPr>
          <w:rFonts w:ascii="宋体" w:hAnsi="宋体" w:cs="宋体"/>
          <w:b/>
          <w:bCs/>
          <w:sz w:val="44"/>
          <w:szCs w:val="48"/>
        </w:rPr>
      </w:pPr>
      <w:r>
        <w:rPr>
          <w:rFonts w:hint="eastAsia" w:ascii="宋体" w:hAnsi="宋体" w:cs="宋体"/>
          <w:b/>
          <w:bCs/>
          <w:sz w:val="44"/>
          <w:szCs w:val="48"/>
        </w:rPr>
        <w:t>扬州大学附属医院</w:t>
      </w:r>
      <w:r>
        <w:rPr>
          <w:rFonts w:hint="eastAsia" w:ascii="宋体" w:hAnsi="宋体" w:cs="宋体"/>
          <w:b/>
          <w:bCs/>
          <w:sz w:val="44"/>
          <w:szCs w:val="48"/>
          <w:lang w:val="en-US" w:eastAsia="zh-CN"/>
        </w:rPr>
        <w:t>智慧医院一期硬件维保</w:t>
      </w:r>
      <w:r>
        <w:rPr>
          <w:rFonts w:hint="eastAsia" w:ascii="宋体" w:hAnsi="宋体" w:cs="宋体"/>
          <w:b/>
          <w:bCs/>
          <w:sz w:val="44"/>
          <w:szCs w:val="48"/>
        </w:rPr>
        <w:t>项目</w:t>
      </w:r>
    </w:p>
    <w:p w14:paraId="3503FC08">
      <w:pPr>
        <w:jc w:val="center"/>
        <w:rPr>
          <w:rFonts w:ascii="宋体" w:hAnsi="宋体" w:cs="宋体"/>
          <w:b/>
          <w:bCs/>
          <w:sz w:val="44"/>
          <w:szCs w:val="48"/>
        </w:rPr>
      </w:pPr>
      <w:r>
        <w:rPr>
          <w:rFonts w:hint="eastAsia" w:ascii="宋体" w:hAnsi="宋体" w:cs="宋体"/>
          <w:b/>
          <w:bCs/>
          <w:sz w:val="44"/>
          <w:szCs w:val="48"/>
        </w:rPr>
        <w:t>院内公开谈判文件</w:t>
      </w:r>
    </w:p>
    <w:p w14:paraId="74E899A4">
      <w:pPr>
        <w:adjustRightInd w:val="0"/>
        <w:snapToGrid w:val="0"/>
        <w:spacing w:line="560" w:lineRule="exact"/>
        <w:jc w:val="center"/>
        <w:rPr>
          <w:rFonts w:ascii="宋体" w:hAnsi="宋体" w:cs="仿宋"/>
          <w:spacing w:val="28"/>
          <w:sz w:val="44"/>
          <w:szCs w:val="44"/>
        </w:rPr>
      </w:pPr>
    </w:p>
    <w:p w14:paraId="1A5B2782">
      <w:pPr>
        <w:adjustRightInd w:val="0"/>
        <w:snapToGrid w:val="0"/>
        <w:spacing w:line="360" w:lineRule="auto"/>
        <w:jc w:val="center"/>
        <w:rPr>
          <w:rFonts w:eastAsia="黑体"/>
          <w:b/>
          <w:snapToGrid w:val="0"/>
          <w:sz w:val="72"/>
        </w:rPr>
      </w:pPr>
      <w:r>
        <w:drawing>
          <wp:inline distT="0" distB="0" distL="0" distR="0">
            <wp:extent cx="5480685" cy="4157345"/>
            <wp:effectExtent l="0" t="0" r="5715" b="14605"/>
            <wp:docPr id="1026" name="图片 1" descr="9808345747129441"/>
            <wp:cNvGraphicFramePr/>
            <a:graphic xmlns:a="http://schemas.openxmlformats.org/drawingml/2006/main">
              <a:graphicData uri="http://schemas.openxmlformats.org/drawingml/2006/picture">
                <pic:pic xmlns:pic="http://schemas.openxmlformats.org/drawingml/2006/picture">
                  <pic:nvPicPr>
                    <pic:cNvPr id="1026" name="图片 1" descr="9808345747129441"/>
                    <pic:cNvPicPr/>
                  </pic:nvPicPr>
                  <pic:blipFill>
                    <a:blip r:embed="rId5" cstate="print"/>
                    <a:srcRect/>
                    <a:stretch>
                      <a:fillRect/>
                    </a:stretch>
                  </pic:blipFill>
                  <pic:spPr>
                    <a:xfrm>
                      <a:off x="0" y="0"/>
                      <a:ext cx="5480685" cy="4157345"/>
                    </a:xfrm>
                    <a:prstGeom prst="rect">
                      <a:avLst/>
                    </a:prstGeom>
                    <a:ln>
                      <a:noFill/>
                    </a:ln>
                  </pic:spPr>
                </pic:pic>
              </a:graphicData>
            </a:graphic>
          </wp:inline>
        </w:drawing>
      </w:r>
    </w:p>
    <w:p w14:paraId="360774AD">
      <w:pPr>
        <w:spacing w:line="360" w:lineRule="auto"/>
        <w:ind w:firstLine="848" w:firstLineChars="265"/>
        <w:jc w:val="center"/>
        <w:rPr>
          <w:rFonts w:ascii="宋体" w:hAnsi="宋体" w:cs="宋体"/>
          <w:sz w:val="32"/>
          <w:szCs w:val="32"/>
        </w:rPr>
      </w:pPr>
    </w:p>
    <w:p w14:paraId="5713F181">
      <w:pPr>
        <w:keepNext w:val="0"/>
        <w:keepLines w:val="0"/>
        <w:pageBreakBefore w:val="0"/>
        <w:widowControl w:val="0"/>
        <w:kinsoku/>
        <w:wordWrap/>
        <w:overflowPunct/>
        <w:topLinePunct w:val="0"/>
        <w:autoSpaceDE/>
        <w:autoSpaceDN/>
        <w:bidi w:val="0"/>
        <w:adjustRightInd/>
        <w:snapToGrid/>
        <w:spacing w:line="360" w:lineRule="auto"/>
        <w:ind w:firstLine="1760" w:firstLineChars="550"/>
        <w:jc w:val="both"/>
        <w:textAlignment w:val="auto"/>
        <w:rPr>
          <w:rFonts w:ascii="宋体" w:hAnsi="宋体" w:cs="宋体"/>
          <w:b w:val="0"/>
          <w:bCs w:val="0"/>
          <w:sz w:val="32"/>
          <w:szCs w:val="32"/>
        </w:rPr>
      </w:pPr>
      <w:r>
        <w:rPr>
          <w:rFonts w:hint="eastAsia" w:ascii="宋体" w:hAnsi="宋体" w:cs="宋体"/>
          <w:b w:val="0"/>
          <w:bCs w:val="0"/>
          <w:sz w:val="32"/>
          <w:szCs w:val="32"/>
        </w:rPr>
        <w:t>采   购  人：扬州大学附属医院</w:t>
      </w:r>
    </w:p>
    <w:p w14:paraId="00215435">
      <w:pPr>
        <w:keepNext w:val="0"/>
        <w:keepLines w:val="0"/>
        <w:pageBreakBefore w:val="0"/>
        <w:widowControl w:val="0"/>
        <w:kinsoku/>
        <w:wordWrap/>
        <w:overflowPunct/>
        <w:topLinePunct w:val="0"/>
        <w:autoSpaceDE/>
        <w:autoSpaceDN/>
        <w:bidi w:val="0"/>
        <w:adjustRightInd/>
        <w:snapToGrid/>
        <w:spacing w:line="360" w:lineRule="auto"/>
        <w:ind w:firstLine="1760" w:firstLineChars="550"/>
        <w:jc w:val="both"/>
        <w:textAlignment w:val="auto"/>
        <w:rPr>
          <w:rFonts w:hint="default" w:ascii="宋体" w:hAnsi="宋体" w:cs="宋体"/>
          <w:b w:val="0"/>
          <w:bCs w:val="0"/>
          <w:sz w:val="32"/>
          <w:szCs w:val="32"/>
          <w:lang w:val="en-US"/>
        </w:rPr>
      </w:pPr>
      <w:r>
        <w:rPr>
          <w:rFonts w:hint="eastAsia" w:ascii="宋体" w:hAnsi="宋体" w:cs="宋体"/>
          <w:b w:val="0"/>
          <w:bCs w:val="0"/>
          <w:sz w:val="32"/>
          <w:szCs w:val="32"/>
          <w:lang w:val="en-US" w:eastAsia="zh-CN"/>
        </w:rPr>
        <w:t>项 目 编 号：CGZX2026XX2032</w:t>
      </w:r>
    </w:p>
    <w:p w14:paraId="2513651D">
      <w:pPr>
        <w:keepNext w:val="0"/>
        <w:keepLines w:val="0"/>
        <w:pageBreakBefore w:val="0"/>
        <w:widowControl w:val="0"/>
        <w:kinsoku/>
        <w:wordWrap/>
        <w:overflowPunct/>
        <w:topLinePunct w:val="0"/>
        <w:autoSpaceDE/>
        <w:autoSpaceDN/>
        <w:bidi w:val="0"/>
        <w:adjustRightInd/>
        <w:snapToGrid/>
        <w:spacing w:line="360" w:lineRule="auto"/>
        <w:ind w:firstLine="1760" w:firstLineChars="550"/>
        <w:jc w:val="both"/>
        <w:textAlignment w:val="auto"/>
        <w:rPr>
          <w:rFonts w:hint="default" w:ascii="宋体" w:hAnsi="宋体" w:eastAsia="宋体" w:cs="宋体"/>
          <w:b w:val="0"/>
          <w:bCs w:val="0"/>
          <w:sz w:val="32"/>
          <w:szCs w:val="32"/>
          <w:lang w:val="en-US" w:eastAsia="zh-CN"/>
        </w:rPr>
      </w:pPr>
      <w:r>
        <w:rPr>
          <w:rFonts w:hint="eastAsia" w:ascii="宋体" w:hAnsi="宋体" w:cs="宋体"/>
          <w:b w:val="0"/>
          <w:bCs w:val="0"/>
          <w:sz w:val="32"/>
          <w:szCs w:val="32"/>
        </w:rPr>
        <w:t>发 放 日 期：</w:t>
      </w:r>
      <w:bookmarkStart w:id="0" w:name="EB59c3faf64f2a4bd092a206fb1d0c3c03"/>
      <w:r>
        <w:rPr>
          <w:rFonts w:hint="eastAsia" w:ascii="宋体" w:hAnsi="宋体" w:cs="宋体"/>
          <w:b w:val="0"/>
          <w:bCs w:val="0"/>
          <w:sz w:val="32"/>
          <w:szCs w:val="32"/>
        </w:rPr>
        <w:t>202</w:t>
      </w:r>
      <w:r>
        <w:rPr>
          <w:rFonts w:ascii="宋体" w:hAnsi="宋体" w:cs="宋体"/>
          <w:b w:val="0"/>
          <w:bCs w:val="0"/>
          <w:sz w:val="32"/>
          <w:szCs w:val="32"/>
        </w:rPr>
        <w:t>6</w:t>
      </w:r>
      <w:r>
        <w:rPr>
          <w:rFonts w:hint="eastAsia" w:ascii="宋体" w:hAnsi="宋体" w:cs="宋体"/>
          <w:b w:val="0"/>
          <w:bCs w:val="0"/>
          <w:sz w:val="32"/>
          <w:szCs w:val="32"/>
        </w:rPr>
        <w:t>年</w:t>
      </w:r>
      <w:r>
        <w:rPr>
          <w:rFonts w:hint="eastAsia" w:ascii="宋体" w:hAnsi="宋体" w:cs="宋体"/>
          <w:b w:val="0"/>
          <w:bCs w:val="0"/>
          <w:sz w:val="32"/>
          <w:szCs w:val="32"/>
          <w:highlight w:val="none"/>
          <w:lang w:val="en-US" w:eastAsia="zh-CN"/>
        </w:rPr>
        <w:t>6</w:t>
      </w:r>
      <w:r>
        <w:rPr>
          <w:rFonts w:hint="eastAsia" w:ascii="宋体" w:hAnsi="宋体" w:cs="宋体"/>
          <w:b w:val="0"/>
          <w:bCs w:val="0"/>
          <w:sz w:val="32"/>
          <w:szCs w:val="32"/>
          <w:highlight w:val="none"/>
        </w:rPr>
        <w:t>月</w:t>
      </w:r>
      <w:bookmarkEnd w:id="0"/>
      <w:r>
        <w:rPr>
          <w:rFonts w:hint="eastAsia" w:ascii="宋体" w:hAnsi="宋体" w:cs="宋体"/>
          <w:b w:val="0"/>
          <w:bCs w:val="0"/>
          <w:sz w:val="32"/>
          <w:szCs w:val="32"/>
          <w:highlight w:val="none"/>
          <w:lang w:val="en-US" w:eastAsia="zh-CN"/>
        </w:rPr>
        <w:t>1日</w:t>
      </w:r>
    </w:p>
    <w:p w14:paraId="741AD37D">
      <w:pPr>
        <w:jc w:val="center"/>
        <w:rPr>
          <w:rFonts w:ascii="宋体" w:hAnsi="宋体"/>
          <w:b/>
          <w:bCs/>
          <w:sz w:val="48"/>
          <w:szCs w:val="48"/>
        </w:rPr>
      </w:pPr>
    </w:p>
    <w:p w14:paraId="443046F7">
      <w:pPr>
        <w:spacing w:line="360" w:lineRule="auto"/>
        <w:ind w:firstLine="4200" w:firstLineChars="1400"/>
        <w:rPr>
          <w:rFonts w:ascii="宋体" w:hAnsi="宋体"/>
          <w:b/>
          <w:bCs/>
          <w:sz w:val="36"/>
          <w:szCs w:val="36"/>
        </w:rPr>
      </w:pPr>
      <w:r>
        <w:rPr>
          <w:rFonts w:hint="eastAsia" w:ascii="宋体" w:hAnsi="宋体"/>
          <w:sz w:val="30"/>
          <w:szCs w:val="30"/>
        </w:rPr>
        <w:br w:type="page"/>
      </w:r>
      <w:r>
        <w:rPr>
          <w:rFonts w:hint="eastAsia" w:ascii="宋体" w:hAnsi="宋体"/>
          <w:b/>
          <w:bCs/>
          <w:sz w:val="36"/>
          <w:szCs w:val="36"/>
        </w:rPr>
        <w:t>目  录</w:t>
      </w:r>
    </w:p>
    <w:p w14:paraId="0B1F4295">
      <w:pPr>
        <w:pStyle w:val="17"/>
        <w:ind w:firstLine="630" w:firstLineChars="300"/>
      </w:pPr>
    </w:p>
    <w:p w14:paraId="494A013B">
      <w:pPr>
        <w:pStyle w:val="17"/>
        <w:ind w:firstLine="240" w:firstLineChars="100"/>
        <w:contextualSpacing/>
        <w:jc w:val="left"/>
        <w:rPr>
          <w:rFonts w:ascii="宋体" w:hAnsi="宋体"/>
          <w:sz w:val="24"/>
        </w:rPr>
      </w:pPr>
      <w:r>
        <w:rPr>
          <w:rFonts w:ascii="宋体" w:hAnsi="宋体"/>
          <w:sz w:val="24"/>
        </w:rPr>
        <w:t>一、</w:t>
      </w:r>
      <w:r>
        <w:rPr>
          <w:rFonts w:hint="eastAsia" w:ascii="宋体" w:hAnsi="宋体"/>
          <w:sz w:val="24"/>
        </w:rPr>
        <w:t>招标邀请</w:t>
      </w:r>
      <w:r>
        <w:rPr>
          <w:rFonts w:ascii="宋体" w:hAnsi="宋体"/>
          <w:sz w:val="24"/>
        </w:rPr>
        <w:t>………………………………………………………………………</w:t>
      </w:r>
      <w:r>
        <w:rPr>
          <w:rFonts w:ascii="宋体" w:hAnsi="宋体"/>
          <w:sz w:val="24"/>
        </w:rPr>
        <w:fldChar w:fldCharType="begin"/>
      </w:r>
      <w:r>
        <w:rPr>
          <w:rFonts w:ascii="宋体" w:hAnsi="宋体"/>
          <w:sz w:val="24"/>
        </w:rPr>
        <w:instrText xml:space="preserve"> PAGEREF _Toc39744251 \h </w:instrText>
      </w:r>
      <w:r>
        <w:rPr>
          <w:rFonts w:ascii="宋体" w:hAnsi="宋体"/>
          <w:sz w:val="24"/>
        </w:rPr>
        <w:fldChar w:fldCharType="separate"/>
      </w:r>
      <w:r>
        <w:rPr>
          <w:rFonts w:ascii="宋体" w:hAnsi="宋体"/>
          <w:sz w:val="24"/>
        </w:rPr>
        <w:t>2</w:t>
      </w:r>
      <w:r>
        <w:rPr>
          <w:rFonts w:ascii="宋体" w:hAnsi="宋体"/>
          <w:sz w:val="24"/>
        </w:rPr>
        <w:fldChar w:fldCharType="end"/>
      </w:r>
    </w:p>
    <w:p w14:paraId="371E09A1">
      <w:pPr>
        <w:spacing w:line="360" w:lineRule="auto"/>
        <w:ind w:firstLine="240" w:firstLineChars="100"/>
        <w:contextualSpacing/>
        <w:jc w:val="left"/>
        <w:rPr>
          <w:rFonts w:ascii="宋体" w:hAnsi="宋体"/>
          <w:sz w:val="24"/>
        </w:rPr>
      </w:pPr>
      <w:r>
        <w:rPr>
          <w:rFonts w:hint="eastAsia" w:ascii="宋体" w:hAnsi="宋体"/>
          <w:sz w:val="24"/>
        </w:rPr>
        <w:t>二、项目需求</w:t>
      </w:r>
      <w:r>
        <w:rPr>
          <w:rFonts w:ascii="宋体" w:hAnsi="宋体"/>
          <w:sz w:val="24"/>
        </w:rPr>
        <w:t>………………………………………………………………………</w:t>
      </w:r>
      <w:r>
        <w:rPr>
          <w:rFonts w:hint="eastAsia" w:ascii="宋体" w:hAnsi="宋体"/>
          <w:sz w:val="24"/>
        </w:rPr>
        <w:t>3</w:t>
      </w:r>
    </w:p>
    <w:p w14:paraId="16642D1F">
      <w:pPr>
        <w:spacing w:line="360" w:lineRule="auto"/>
        <w:ind w:firstLine="240" w:firstLineChars="100"/>
        <w:contextualSpacing/>
        <w:jc w:val="left"/>
        <w:rPr>
          <w:rFonts w:hint="default" w:ascii="宋体" w:hAnsi="宋体" w:eastAsia="宋体"/>
          <w:sz w:val="24"/>
          <w:lang w:val="en-US" w:eastAsia="zh-CN"/>
        </w:rPr>
      </w:pPr>
      <w:r>
        <w:rPr>
          <w:rFonts w:hint="eastAsia" w:ascii="宋体" w:hAnsi="宋体"/>
          <w:sz w:val="24"/>
        </w:rPr>
        <w:t>三、</w:t>
      </w:r>
      <w:r>
        <w:rPr>
          <w:rFonts w:ascii="宋体" w:hAnsi="宋体"/>
          <w:sz w:val="24"/>
        </w:rPr>
        <w:t>投标人须知……………………………………………………………………</w:t>
      </w:r>
      <w:r>
        <w:rPr>
          <w:rFonts w:hint="eastAsia" w:ascii="宋体" w:hAnsi="宋体"/>
          <w:sz w:val="24"/>
          <w:lang w:val="en-US" w:eastAsia="zh-CN"/>
        </w:rPr>
        <w:t>9</w:t>
      </w:r>
    </w:p>
    <w:p w14:paraId="1C23CA9E">
      <w:pPr>
        <w:spacing w:line="360" w:lineRule="auto"/>
        <w:ind w:firstLine="240" w:firstLineChars="100"/>
        <w:contextualSpacing/>
        <w:jc w:val="left"/>
        <w:rPr>
          <w:rFonts w:hint="default" w:ascii="宋体" w:hAnsi="宋体" w:eastAsia="宋体"/>
          <w:bCs/>
          <w:sz w:val="24"/>
          <w:lang w:val="en-US" w:eastAsia="zh-CN"/>
        </w:rPr>
      </w:pPr>
      <w:r>
        <w:rPr>
          <w:rFonts w:hint="eastAsia" w:ascii="宋体" w:hAnsi="宋体"/>
          <w:bCs/>
          <w:sz w:val="24"/>
        </w:rPr>
        <w:t>四、投标文件格式及附件要求</w:t>
      </w:r>
      <w:r>
        <w:rPr>
          <w:rFonts w:ascii="宋体" w:hAnsi="宋体"/>
          <w:bCs/>
          <w:sz w:val="24"/>
        </w:rPr>
        <w:t>……………………………………………………</w:t>
      </w:r>
      <w:r>
        <w:rPr>
          <w:rFonts w:hint="eastAsia" w:ascii="宋体" w:hAnsi="宋体"/>
          <w:bCs/>
          <w:sz w:val="24"/>
          <w:lang w:val="en-US" w:eastAsia="zh-CN"/>
        </w:rPr>
        <w:t>11</w:t>
      </w:r>
    </w:p>
    <w:p w14:paraId="1867F6F9">
      <w:pPr>
        <w:spacing w:line="360" w:lineRule="auto"/>
        <w:contextualSpacing/>
        <w:jc w:val="center"/>
        <w:rPr>
          <w:rFonts w:ascii="宋体" w:hAnsi="宋体"/>
          <w:bCs/>
          <w:sz w:val="24"/>
        </w:rPr>
      </w:pPr>
    </w:p>
    <w:p w14:paraId="677A5F9C">
      <w:pPr>
        <w:rPr>
          <w:rFonts w:ascii="宋体" w:hAnsi="宋体"/>
          <w:sz w:val="30"/>
          <w:szCs w:val="30"/>
        </w:rPr>
      </w:pPr>
    </w:p>
    <w:p w14:paraId="5CB2C381">
      <w:pPr>
        <w:spacing w:line="360" w:lineRule="auto"/>
        <w:jc w:val="center"/>
      </w:pPr>
      <w:bookmarkStart w:id="1" w:name="_Toc39744251"/>
    </w:p>
    <w:p w14:paraId="510311EA">
      <w:pPr>
        <w:spacing w:line="360" w:lineRule="auto"/>
        <w:jc w:val="center"/>
      </w:pPr>
    </w:p>
    <w:p w14:paraId="7DD326FB">
      <w:pPr>
        <w:spacing w:line="360" w:lineRule="auto"/>
        <w:jc w:val="center"/>
      </w:pPr>
    </w:p>
    <w:p w14:paraId="288B5762">
      <w:pPr>
        <w:spacing w:line="360" w:lineRule="auto"/>
        <w:jc w:val="center"/>
      </w:pPr>
    </w:p>
    <w:p w14:paraId="04A4092C">
      <w:pPr>
        <w:spacing w:line="360" w:lineRule="auto"/>
        <w:jc w:val="center"/>
      </w:pPr>
    </w:p>
    <w:p w14:paraId="240083CD">
      <w:pPr>
        <w:spacing w:line="360" w:lineRule="auto"/>
        <w:jc w:val="center"/>
      </w:pPr>
    </w:p>
    <w:p w14:paraId="42CD0665">
      <w:pPr>
        <w:spacing w:line="360" w:lineRule="auto"/>
        <w:jc w:val="center"/>
      </w:pPr>
    </w:p>
    <w:p w14:paraId="4E7B3000">
      <w:pPr>
        <w:spacing w:line="360" w:lineRule="auto"/>
        <w:jc w:val="center"/>
      </w:pPr>
    </w:p>
    <w:p w14:paraId="66ED4BA3">
      <w:pPr>
        <w:spacing w:line="360" w:lineRule="auto"/>
        <w:jc w:val="center"/>
      </w:pPr>
    </w:p>
    <w:p w14:paraId="387B8BAD">
      <w:pPr>
        <w:spacing w:line="360" w:lineRule="auto"/>
        <w:jc w:val="center"/>
      </w:pPr>
    </w:p>
    <w:p w14:paraId="76AA2F0E">
      <w:pPr>
        <w:spacing w:line="360" w:lineRule="auto"/>
        <w:jc w:val="center"/>
      </w:pPr>
    </w:p>
    <w:p w14:paraId="79DC29AA">
      <w:pPr>
        <w:spacing w:line="360" w:lineRule="auto"/>
        <w:jc w:val="center"/>
      </w:pPr>
    </w:p>
    <w:p w14:paraId="0E374916">
      <w:pPr>
        <w:spacing w:line="360" w:lineRule="auto"/>
        <w:jc w:val="center"/>
      </w:pPr>
    </w:p>
    <w:p w14:paraId="79FB7AE0">
      <w:pPr>
        <w:spacing w:line="360" w:lineRule="auto"/>
        <w:jc w:val="center"/>
      </w:pPr>
    </w:p>
    <w:p w14:paraId="3FA5D1D2">
      <w:pPr>
        <w:spacing w:line="360" w:lineRule="auto"/>
        <w:jc w:val="center"/>
      </w:pPr>
    </w:p>
    <w:p w14:paraId="576F353D">
      <w:pPr>
        <w:spacing w:line="360" w:lineRule="auto"/>
        <w:jc w:val="center"/>
      </w:pPr>
    </w:p>
    <w:p w14:paraId="605A37BB">
      <w:pPr>
        <w:spacing w:line="360" w:lineRule="auto"/>
        <w:jc w:val="center"/>
      </w:pPr>
    </w:p>
    <w:p w14:paraId="0018E138">
      <w:pPr>
        <w:spacing w:line="360" w:lineRule="auto"/>
        <w:jc w:val="center"/>
      </w:pPr>
    </w:p>
    <w:p w14:paraId="5584E47A">
      <w:pPr>
        <w:spacing w:line="360" w:lineRule="auto"/>
        <w:jc w:val="center"/>
        <w:rPr>
          <w:rFonts w:ascii="宋体" w:hAnsi="宋体" w:cs="宋体"/>
          <w:b/>
          <w:sz w:val="28"/>
          <w:szCs w:val="20"/>
        </w:rPr>
      </w:pPr>
    </w:p>
    <w:p w14:paraId="122FA380">
      <w:pPr>
        <w:rPr>
          <w:rFonts w:hint="eastAsia"/>
          <w:b/>
          <w:sz w:val="32"/>
          <w:szCs w:val="32"/>
        </w:rPr>
      </w:pPr>
      <w:r>
        <w:rPr>
          <w:rFonts w:hint="eastAsia"/>
          <w:b/>
          <w:sz w:val="32"/>
          <w:szCs w:val="32"/>
        </w:rPr>
        <w:br w:type="page"/>
      </w:r>
    </w:p>
    <w:p w14:paraId="663E12EE">
      <w:pPr>
        <w:jc w:val="center"/>
        <w:rPr>
          <w:b/>
          <w:sz w:val="32"/>
          <w:szCs w:val="32"/>
        </w:rPr>
      </w:pPr>
      <w:r>
        <w:rPr>
          <w:rFonts w:hint="eastAsia"/>
          <w:b/>
          <w:sz w:val="32"/>
          <w:szCs w:val="32"/>
        </w:rPr>
        <w:t>一、</w:t>
      </w:r>
      <w:bookmarkEnd w:id="1"/>
      <w:r>
        <w:rPr>
          <w:rFonts w:hint="eastAsia"/>
          <w:b/>
          <w:sz w:val="32"/>
          <w:szCs w:val="32"/>
        </w:rPr>
        <w:t>招标邀请</w:t>
      </w:r>
    </w:p>
    <w:tbl>
      <w:tblPr>
        <w:tblStyle w:val="23"/>
        <w:tblW w:w="4871" w:type="pct"/>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5"/>
        <w:gridCol w:w="2537"/>
        <w:gridCol w:w="1009"/>
        <w:gridCol w:w="708"/>
        <w:gridCol w:w="276"/>
        <w:gridCol w:w="3440"/>
      </w:tblGrid>
      <w:tr w14:paraId="6605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7669308A">
            <w:pPr>
              <w:jc w:val="center"/>
              <w:rPr>
                <w:rFonts w:ascii="宋体" w:hAnsi="宋体"/>
                <w:szCs w:val="21"/>
              </w:rPr>
            </w:pPr>
            <w:r>
              <w:rPr>
                <w:rFonts w:hint="eastAsia" w:ascii="宋体" w:hAnsi="宋体"/>
                <w:szCs w:val="21"/>
              </w:rPr>
              <w:t>项目名称</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3C78168B">
            <w:pPr>
              <w:spacing w:line="360" w:lineRule="auto"/>
              <w:rPr>
                <w:rFonts w:ascii="宋体" w:hAnsi="宋体"/>
                <w:szCs w:val="21"/>
              </w:rPr>
            </w:pPr>
            <w:r>
              <w:rPr>
                <w:rFonts w:hint="eastAsia" w:ascii="宋体" w:hAnsi="宋体" w:eastAsia="宋体" w:cs="宋体"/>
                <w:color w:val="auto"/>
                <w:sz w:val="21"/>
                <w:szCs w:val="21"/>
                <w:lang w:val="en-US" w:eastAsia="zh-CN"/>
              </w:rPr>
              <w:t>智慧医院一期硬件维保项目</w:t>
            </w:r>
          </w:p>
        </w:tc>
      </w:tr>
      <w:tr w14:paraId="2A4E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021BB7A5">
            <w:pPr>
              <w:jc w:val="center"/>
              <w:rPr>
                <w:rFonts w:ascii="宋体" w:hAnsi="宋体"/>
                <w:szCs w:val="21"/>
              </w:rPr>
            </w:pPr>
            <w:r>
              <w:rPr>
                <w:rFonts w:hint="eastAsia" w:ascii="宋体" w:hAnsi="宋体"/>
                <w:szCs w:val="21"/>
              </w:rPr>
              <w:t>服务地点</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7C60D814">
            <w:pPr>
              <w:rPr>
                <w:rFonts w:ascii="宋体" w:hAnsi="宋体"/>
                <w:b/>
                <w:szCs w:val="21"/>
              </w:rPr>
            </w:pPr>
            <w:r>
              <w:rPr>
                <w:rFonts w:hint="eastAsia" w:ascii="宋体" w:hAnsi="宋体"/>
                <w:b/>
                <w:szCs w:val="21"/>
              </w:rPr>
              <w:t>扬州大学附属医院</w:t>
            </w:r>
          </w:p>
        </w:tc>
      </w:tr>
      <w:tr w14:paraId="3B8F2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894" w:type="pct"/>
            <w:tcBorders>
              <w:top w:val="single" w:color="auto" w:sz="4" w:space="0"/>
              <w:left w:val="single" w:color="auto" w:sz="4" w:space="0"/>
              <w:bottom w:val="single" w:color="auto" w:sz="4" w:space="0"/>
              <w:right w:val="single" w:color="auto" w:sz="4" w:space="0"/>
            </w:tcBorders>
            <w:vAlign w:val="center"/>
          </w:tcPr>
          <w:p w14:paraId="2060F2CD">
            <w:pPr>
              <w:jc w:val="center"/>
              <w:rPr>
                <w:rFonts w:ascii="宋体" w:hAnsi="宋体"/>
                <w:szCs w:val="21"/>
              </w:rPr>
            </w:pPr>
            <w:r>
              <w:rPr>
                <w:rFonts w:hint="eastAsia" w:ascii="宋体" w:hAnsi="宋体"/>
                <w:szCs w:val="21"/>
              </w:rPr>
              <w:t>承包方式</w:t>
            </w:r>
          </w:p>
        </w:tc>
        <w:tc>
          <w:tcPr>
            <w:tcW w:w="1307" w:type="pct"/>
            <w:tcBorders>
              <w:top w:val="single" w:color="auto" w:sz="4" w:space="0"/>
              <w:left w:val="single" w:color="auto" w:sz="4" w:space="0"/>
              <w:bottom w:val="single" w:color="auto" w:sz="4" w:space="0"/>
              <w:right w:val="single" w:color="auto" w:sz="4" w:space="0"/>
            </w:tcBorders>
            <w:vAlign w:val="center"/>
          </w:tcPr>
          <w:p w14:paraId="424F69A8">
            <w:pPr>
              <w:spacing w:line="320" w:lineRule="exact"/>
              <w:jc w:val="center"/>
              <w:rPr>
                <w:rFonts w:ascii="宋体" w:hAnsi="宋体"/>
                <w:szCs w:val="21"/>
              </w:rPr>
            </w:pPr>
            <w:r>
              <w:rPr>
                <w:rFonts w:hint="eastAsia" w:ascii="宋体" w:hAnsi="宋体"/>
                <w:szCs w:val="21"/>
              </w:rPr>
              <w:t>/</w:t>
            </w:r>
          </w:p>
        </w:tc>
        <w:tc>
          <w:tcPr>
            <w:tcW w:w="885" w:type="pct"/>
            <w:gridSpan w:val="2"/>
            <w:tcBorders>
              <w:top w:val="single" w:color="auto" w:sz="4" w:space="0"/>
              <w:left w:val="single" w:color="auto" w:sz="4" w:space="0"/>
              <w:bottom w:val="single" w:color="auto" w:sz="4" w:space="0"/>
              <w:right w:val="single" w:color="auto" w:sz="4" w:space="0"/>
            </w:tcBorders>
            <w:vAlign w:val="center"/>
          </w:tcPr>
          <w:p w14:paraId="7B951AEF">
            <w:pPr>
              <w:jc w:val="center"/>
              <w:rPr>
                <w:rFonts w:ascii="宋体" w:hAnsi="宋体"/>
                <w:szCs w:val="21"/>
              </w:rPr>
            </w:pPr>
            <w:r>
              <w:rPr>
                <w:rFonts w:hint="eastAsia" w:ascii="宋体" w:hAnsi="宋体"/>
                <w:szCs w:val="21"/>
              </w:rPr>
              <w:t>质量标准</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223738EA">
            <w:pPr>
              <w:jc w:val="center"/>
              <w:rPr>
                <w:rFonts w:ascii="宋体" w:hAnsi="宋体"/>
                <w:szCs w:val="21"/>
              </w:rPr>
            </w:pPr>
            <w:r>
              <w:rPr>
                <w:rFonts w:hint="eastAsia" w:ascii="宋体" w:hAnsi="宋体"/>
                <w:szCs w:val="21"/>
              </w:rPr>
              <w:t>合 格</w:t>
            </w:r>
          </w:p>
        </w:tc>
      </w:tr>
      <w:tr w14:paraId="56A66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894" w:type="pct"/>
            <w:tcBorders>
              <w:top w:val="single" w:color="auto" w:sz="4" w:space="0"/>
              <w:left w:val="single" w:color="auto" w:sz="4" w:space="0"/>
              <w:bottom w:val="single" w:color="auto" w:sz="4" w:space="0"/>
              <w:right w:val="single" w:color="auto" w:sz="4" w:space="0"/>
            </w:tcBorders>
            <w:vAlign w:val="center"/>
          </w:tcPr>
          <w:p w14:paraId="7DCB8120">
            <w:pPr>
              <w:jc w:val="center"/>
              <w:rPr>
                <w:rFonts w:ascii="宋体" w:hAnsi="宋体"/>
                <w:szCs w:val="21"/>
              </w:rPr>
            </w:pPr>
            <w:r>
              <w:rPr>
                <w:rFonts w:hint="eastAsia" w:ascii="宋体" w:hAnsi="宋体"/>
                <w:szCs w:val="21"/>
              </w:rPr>
              <w:t>预算价</w:t>
            </w:r>
          </w:p>
        </w:tc>
        <w:tc>
          <w:tcPr>
            <w:tcW w:w="1307" w:type="pct"/>
            <w:tcBorders>
              <w:top w:val="single" w:color="auto" w:sz="4" w:space="0"/>
              <w:left w:val="single" w:color="auto" w:sz="4" w:space="0"/>
              <w:bottom w:val="single" w:color="auto" w:sz="4" w:space="0"/>
              <w:right w:val="single" w:color="auto" w:sz="4" w:space="0"/>
            </w:tcBorders>
            <w:vAlign w:val="center"/>
          </w:tcPr>
          <w:p w14:paraId="0325B75E">
            <w:pPr>
              <w:spacing w:line="320" w:lineRule="exact"/>
              <w:jc w:val="center"/>
              <w:rPr>
                <w:rFonts w:ascii="宋体" w:hAnsi="宋体"/>
                <w:szCs w:val="21"/>
              </w:rPr>
            </w:pPr>
            <w:r>
              <w:rPr>
                <w:rFonts w:hint="eastAsia" w:ascii="宋体" w:hAnsi="宋体"/>
                <w:szCs w:val="21"/>
                <w:lang w:val="en-US" w:eastAsia="zh-CN"/>
              </w:rPr>
              <w:t>25</w:t>
            </w:r>
            <w:r>
              <w:rPr>
                <w:rFonts w:hint="eastAsia" w:ascii="宋体" w:hAnsi="宋体"/>
                <w:szCs w:val="21"/>
              </w:rPr>
              <w:t>万元</w:t>
            </w:r>
          </w:p>
        </w:tc>
        <w:tc>
          <w:tcPr>
            <w:tcW w:w="885" w:type="pct"/>
            <w:gridSpan w:val="2"/>
            <w:tcBorders>
              <w:top w:val="single" w:color="auto" w:sz="4" w:space="0"/>
              <w:left w:val="single" w:color="auto" w:sz="4" w:space="0"/>
              <w:right w:val="single" w:color="auto" w:sz="4" w:space="0"/>
            </w:tcBorders>
            <w:vAlign w:val="center"/>
          </w:tcPr>
          <w:p w14:paraId="58F845AC">
            <w:pPr>
              <w:jc w:val="center"/>
              <w:rPr>
                <w:rFonts w:ascii="宋体" w:hAnsi="宋体"/>
                <w:szCs w:val="21"/>
              </w:rPr>
            </w:pPr>
            <w:r>
              <w:rPr>
                <w:rFonts w:hint="eastAsia" w:ascii="宋体" w:hAnsi="宋体"/>
                <w:szCs w:val="21"/>
              </w:rPr>
              <w:t>标书工本费</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4795BDFD">
            <w:pPr>
              <w:jc w:val="center"/>
              <w:rPr>
                <w:rFonts w:ascii="宋体" w:hAnsi="宋体"/>
                <w:szCs w:val="21"/>
              </w:rPr>
            </w:pPr>
            <w:r>
              <w:rPr>
                <w:rFonts w:hint="eastAsia" w:ascii="宋体" w:hAnsi="宋体"/>
                <w:szCs w:val="21"/>
              </w:rPr>
              <w:t>/</w:t>
            </w:r>
          </w:p>
        </w:tc>
      </w:tr>
      <w:tr w14:paraId="3C74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4A226DDC">
            <w:pPr>
              <w:jc w:val="center"/>
              <w:rPr>
                <w:rFonts w:ascii="宋体" w:hAnsi="宋体"/>
                <w:szCs w:val="21"/>
              </w:rPr>
            </w:pPr>
            <w:r>
              <w:rPr>
                <w:rFonts w:hint="eastAsia"/>
                <w:szCs w:val="21"/>
              </w:rPr>
              <w:t>投标文件要求</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25DD78ED">
            <w:pPr>
              <w:spacing w:line="360" w:lineRule="auto"/>
              <w:rPr>
                <w:rFonts w:ascii="宋体" w:hAnsi="宋体"/>
                <w:szCs w:val="21"/>
              </w:rPr>
            </w:pPr>
            <w:r>
              <w:rPr>
                <w:rFonts w:hint="eastAsia" w:ascii="宋体" w:hAnsi="宋体"/>
                <w:szCs w:val="21"/>
              </w:rPr>
              <w:t>投标文件正本1份，副本4份；所有投标文件的封面及封袋上都必须加盖投标单位法人公章及其法定代表人或授权委托人的签字。</w:t>
            </w:r>
          </w:p>
        </w:tc>
      </w:tr>
      <w:tr w14:paraId="06ABE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2" w:hRule="atLeast"/>
        </w:trPr>
        <w:tc>
          <w:tcPr>
            <w:tcW w:w="894" w:type="pct"/>
            <w:tcBorders>
              <w:top w:val="single" w:color="auto" w:sz="4" w:space="0"/>
              <w:left w:val="single" w:color="auto" w:sz="4" w:space="0"/>
              <w:bottom w:val="single" w:color="auto" w:sz="4" w:space="0"/>
              <w:right w:val="single" w:color="auto" w:sz="4" w:space="0"/>
            </w:tcBorders>
            <w:vAlign w:val="center"/>
          </w:tcPr>
          <w:p w14:paraId="68F88450">
            <w:pPr>
              <w:spacing w:line="360" w:lineRule="auto"/>
              <w:jc w:val="center"/>
              <w:rPr>
                <w:rFonts w:ascii="宋体" w:hAnsi="宋体"/>
                <w:szCs w:val="21"/>
              </w:rPr>
            </w:pPr>
            <w:r>
              <w:rPr>
                <w:rFonts w:hint="eastAsia" w:ascii="宋体" w:hAnsi="宋体"/>
                <w:szCs w:val="21"/>
              </w:rPr>
              <w:t>报名截止时间</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20F8DFBC">
            <w:pPr>
              <w:spacing w:line="360" w:lineRule="auto"/>
              <w:rPr>
                <w:rFonts w:hint="default" w:ascii="宋体" w:hAnsi="宋体" w:eastAsia="宋体"/>
                <w:szCs w:val="21"/>
                <w:highlight w:val="none"/>
                <w:lang w:val="en-US" w:eastAsia="zh-CN"/>
              </w:rPr>
            </w:pPr>
            <w:r>
              <w:rPr>
                <w:rFonts w:hint="eastAsia" w:ascii="宋体" w:hAnsi="宋体"/>
                <w:szCs w:val="21"/>
                <w:highlight w:val="none"/>
              </w:rPr>
              <w:t>202</w:t>
            </w:r>
            <w:r>
              <w:rPr>
                <w:rFonts w:ascii="宋体" w:hAnsi="宋体"/>
                <w:szCs w:val="21"/>
                <w:highlight w:val="none"/>
              </w:rPr>
              <w:t>6</w:t>
            </w:r>
            <w:r>
              <w:rPr>
                <w:rFonts w:hint="eastAsia" w:ascii="宋体" w:hAnsi="宋体"/>
                <w:szCs w:val="21"/>
                <w:highlight w:val="none"/>
              </w:rPr>
              <w:t>年</w:t>
            </w:r>
            <w:r>
              <w:rPr>
                <w:rFonts w:hint="eastAsia" w:ascii="宋体" w:hAnsi="宋体"/>
                <w:szCs w:val="21"/>
                <w:highlight w:val="none"/>
                <w:lang w:val="en-US" w:eastAsia="zh-CN"/>
              </w:rPr>
              <w:t>6</w:t>
            </w:r>
            <w:r>
              <w:rPr>
                <w:rFonts w:hint="eastAsia" w:ascii="宋体" w:hAnsi="宋体"/>
                <w:szCs w:val="21"/>
                <w:highlight w:val="none"/>
              </w:rPr>
              <w:t>月</w:t>
            </w:r>
            <w:r>
              <w:rPr>
                <w:rFonts w:hint="eastAsia" w:ascii="宋体" w:hAnsi="宋体"/>
                <w:szCs w:val="21"/>
                <w:highlight w:val="none"/>
                <w:lang w:val="en-US" w:eastAsia="zh-CN"/>
              </w:rPr>
              <w:t>7</w:t>
            </w:r>
            <w:r>
              <w:rPr>
                <w:rFonts w:hint="eastAsia" w:ascii="宋体" w:hAnsi="宋体"/>
                <w:szCs w:val="21"/>
                <w:highlight w:val="none"/>
              </w:rPr>
              <w:t>日</w:t>
            </w:r>
            <w:r>
              <w:rPr>
                <w:rFonts w:ascii="宋体" w:hAnsi="宋体"/>
                <w:szCs w:val="21"/>
                <w:highlight w:val="none"/>
              </w:rPr>
              <w:t xml:space="preserve">  </w:t>
            </w:r>
            <w:r>
              <w:rPr>
                <w:rFonts w:hint="eastAsia" w:ascii="宋体" w:hAnsi="宋体"/>
                <w:szCs w:val="21"/>
                <w:highlight w:val="none"/>
                <w:lang w:val="en-US" w:eastAsia="zh-CN"/>
              </w:rPr>
              <w:t>17:00</w:t>
            </w:r>
          </w:p>
        </w:tc>
      </w:tr>
      <w:tr w14:paraId="501E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894" w:type="pct"/>
            <w:tcBorders>
              <w:top w:val="single" w:color="auto" w:sz="4" w:space="0"/>
              <w:left w:val="single" w:color="auto" w:sz="4" w:space="0"/>
              <w:bottom w:val="single" w:color="auto" w:sz="4" w:space="0"/>
              <w:right w:val="single" w:color="auto" w:sz="4" w:space="0"/>
            </w:tcBorders>
            <w:vAlign w:val="center"/>
          </w:tcPr>
          <w:p w14:paraId="0CC864DA">
            <w:pPr>
              <w:spacing w:line="360" w:lineRule="auto"/>
              <w:jc w:val="center"/>
              <w:rPr>
                <w:rFonts w:ascii="宋体" w:hAnsi="宋体"/>
                <w:szCs w:val="21"/>
              </w:rPr>
            </w:pPr>
            <w:r>
              <w:rPr>
                <w:rFonts w:hint="eastAsia" w:ascii="宋体" w:hAnsi="宋体"/>
                <w:szCs w:val="21"/>
              </w:rPr>
              <w:t>文件递交地址</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7ED1C27A">
            <w:pPr>
              <w:spacing w:line="360" w:lineRule="auto"/>
              <w:rPr>
                <w:rFonts w:ascii="宋体" w:hAnsi="宋体"/>
                <w:szCs w:val="21"/>
                <w:highlight w:val="none"/>
              </w:rPr>
            </w:pPr>
            <w:r>
              <w:rPr>
                <w:rFonts w:hint="eastAsia" w:ascii="宋体" w:hAnsi="宋体"/>
                <w:szCs w:val="21"/>
                <w:highlight w:val="none"/>
              </w:rPr>
              <w:t>扬大附院西区行政楼40</w:t>
            </w:r>
            <w:r>
              <w:rPr>
                <w:rFonts w:hint="eastAsia" w:ascii="宋体" w:hAnsi="宋体"/>
                <w:szCs w:val="21"/>
                <w:highlight w:val="none"/>
                <w:lang w:val="en-US" w:eastAsia="zh-CN"/>
              </w:rPr>
              <w:t>6</w:t>
            </w:r>
            <w:r>
              <w:rPr>
                <w:rFonts w:hint="eastAsia" w:ascii="宋体" w:hAnsi="宋体"/>
                <w:szCs w:val="21"/>
                <w:highlight w:val="none"/>
              </w:rPr>
              <w:t>办公室</w:t>
            </w:r>
          </w:p>
        </w:tc>
      </w:tr>
      <w:tr w14:paraId="4B90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47C018ED">
            <w:pPr>
              <w:spacing w:line="360" w:lineRule="auto"/>
              <w:jc w:val="center"/>
              <w:rPr>
                <w:rFonts w:ascii="宋体" w:hAnsi="宋体" w:eastAsia="微软雅黑"/>
                <w:szCs w:val="21"/>
              </w:rPr>
            </w:pPr>
            <w:r>
              <w:rPr>
                <w:rFonts w:hint="eastAsia" w:ascii="宋体" w:hAnsi="宋体"/>
                <w:szCs w:val="21"/>
              </w:rPr>
              <w:t>谈判时间</w:t>
            </w:r>
          </w:p>
        </w:tc>
        <w:tc>
          <w:tcPr>
            <w:tcW w:w="1827" w:type="pct"/>
            <w:gridSpan w:val="2"/>
            <w:tcBorders>
              <w:top w:val="single" w:color="auto" w:sz="4" w:space="0"/>
              <w:left w:val="single" w:color="auto" w:sz="4" w:space="0"/>
              <w:bottom w:val="single" w:color="auto" w:sz="4" w:space="0"/>
              <w:right w:val="single" w:color="auto" w:sz="4" w:space="0"/>
            </w:tcBorders>
            <w:vAlign w:val="center"/>
          </w:tcPr>
          <w:p w14:paraId="2F89139D">
            <w:pPr>
              <w:spacing w:line="360" w:lineRule="auto"/>
              <w:jc w:val="center"/>
              <w:rPr>
                <w:rFonts w:ascii="宋体" w:hAnsi="宋体"/>
                <w:b/>
                <w:szCs w:val="21"/>
                <w:highlight w:val="none"/>
              </w:rPr>
            </w:pPr>
            <w:r>
              <w:rPr>
                <w:rFonts w:hint="eastAsia" w:ascii="宋体" w:hAnsi="宋体"/>
                <w:szCs w:val="21"/>
                <w:highlight w:val="none"/>
                <w:lang w:val="en-US" w:eastAsia="zh-CN"/>
              </w:rPr>
              <w:t>另行通知</w:t>
            </w:r>
            <w:r>
              <w:rPr>
                <w:rFonts w:ascii="宋体" w:hAnsi="宋体"/>
                <w:szCs w:val="21"/>
                <w:highlight w:val="none"/>
              </w:rPr>
              <w:t xml:space="preserve"> </w:t>
            </w:r>
          </w:p>
        </w:tc>
        <w:tc>
          <w:tcPr>
            <w:tcW w:w="507" w:type="pct"/>
            <w:gridSpan w:val="2"/>
            <w:tcBorders>
              <w:top w:val="single" w:color="auto" w:sz="4" w:space="0"/>
              <w:left w:val="single" w:color="auto" w:sz="4" w:space="0"/>
              <w:bottom w:val="single" w:color="auto" w:sz="4" w:space="0"/>
              <w:right w:val="single" w:color="auto" w:sz="4" w:space="0"/>
            </w:tcBorders>
            <w:vAlign w:val="center"/>
          </w:tcPr>
          <w:p w14:paraId="38C24DDF">
            <w:pPr>
              <w:spacing w:line="360" w:lineRule="auto"/>
              <w:jc w:val="center"/>
              <w:rPr>
                <w:rFonts w:ascii="宋体" w:hAnsi="宋体"/>
                <w:szCs w:val="21"/>
                <w:highlight w:val="none"/>
              </w:rPr>
            </w:pPr>
            <w:r>
              <w:rPr>
                <w:rFonts w:hint="eastAsia" w:ascii="宋体" w:hAnsi="宋体"/>
                <w:szCs w:val="21"/>
                <w:highlight w:val="none"/>
              </w:rPr>
              <w:t>地点</w:t>
            </w:r>
          </w:p>
        </w:tc>
        <w:tc>
          <w:tcPr>
            <w:tcW w:w="1772" w:type="pct"/>
            <w:tcBorders>
              <w:top w:val="single" w:color="auto" w:sz="4" w:space="0"/>
              <w:left w:val="single" w:color="auto" w:sz="4" w:space="0"/>
              <w:bottom w:val="single" w:color="auto" w:sz="4" w:space="0"/>
              <w:right w:val="single" w:color="auto" w:sz="4" w:space="0"/>
            </w:tcBorders>
            <w:vAlign w:val="center"/>
          </w:tcPr>
          <w:p w14:paraId="113223B4">
            <w:pPr>
              <w:spacing w:line="360" w:lineRule="auto"/>
              <w:jc w:val="center"/>
              <w:rPr>
                <w:rFonts w:ascii="宋体" w:hAnsi="宋体"/>
                <w:szCs w:val="21"/>
                <w:highlight w:val="none"/>
              </w:rPr>
            </w:pPr>
            <w:r>
              <w:rPr>
                <w:rFonts w:hint="eastAsia" w:ascii="宋体" w:hAnsi="宋体"/>
                <w:b/>
                <w:szCs w:val="21"/>
                <w:highlight w:val="none"/>
              </w:rPr>
              <w:t>扬大附院西区行政楼407会议室</w:t>
            </w:r>
          </w:p>
        </w:tc>
      </w:tr>
      <w:tr w14:paraId="5F10F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7F98B331">
            <w:pPr>
              <w:spacing w:line="360" w:lineRule="auto"/>
              <w:jc w:val="center"/>
              <w:rPr>
                <w:rFonts w:ascii="宋体" w:hAnsi="宋体"/>
                <w:szCs w:val="21"/>
              </w:rPr>
            </w:pPr>
            <w:r>
              <w:rPr>
                <w:rFonts w:hint="eastAsia" w:ascii="宋体" w:hAnsi="宋体"/>
                <w:szCs w:val="21"/>
              </w:rPr>
              <w:t>联系方式</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201F6A18">
            <w:pPr>
              <w:adjustRightInd w:val="0"/>
              <w:snapToGrid w:val="0"/>
              <w:spacing w:line="360" w:lineRule="auto"/>
              <w:contextualSpacing/>
              <w:rPr>
                <w:rFonts w:hint="default" w:ascii="宋体" w:hAnsi="宋体" w:eastAsia="宋体" w:cs="宋体"/>
                <w:snapToGrid w:val="0"/>
                <w:szCs w:val="21"/>
                <w:highlight w:val="none"/>
                <w:lang w:val="en-US" w:eastAsia="zh-CN"/>
              </w:rPr>
            </w:pPr>
            <w:r>
              <w:rPr>
                <w:rFonts w:hint="eastAsia" w:ascii="宋体" w:hAnsi="宋体" w:cs="宋体"/>
                <w:snapToGrid w:val="0"/>
                <w:szCs w:val="21"/>
                <w:highlight w:val="none"/>
              </w:rPr>
              <w:t>联系人：</w:t>
            </w:r>
            <w:r>
              <w:rPr>
                <w:rFonts w:hint="eastAsia" w:ascii="宋体" w:hAnsi="宋体" w:cs="宋体"/>
                <w:snapToGrid w:val="0"/>
                <w:szCs w:val="21"/>
                <w:highlight w:val="none"/>
                <w:lang w:val="en-US" w:eastAsia="zh-CN"/>
              </w:rPr>
              <w:t>周</w:t>
            </w:r>
            <w:r>
              <w:rPr>
                <w:rFonts w:hint="eastAsia" w:ascii="宋体" w:hAnsi="宋体" w:cs="宋体"/>
                <w:snapToGrid w:val="0"/>
                <w:szCs w:val="21"/>
                <w:highlight w:val="none"/>
              </w:rPr>
              <w:t>老师   联系电话：0514-8</w:t>
            </w:r>
            <w:r>
              <w:rPr>
                <w:rFonts w:hint="eastAsia" w:ascii="宋体" w:hAnsi="宋体" w:cs="宋体"/>
                <w:snapToGrid w:val="0"/>
                <w:szCs w:val="21"/>
                <w:highlight w:val="none"/>
                <w:lang w:val="en-US" w:eastAsia="zh-CN"/>
              </w:rPr>
              <w:t>0319750</w:t>
            </w:r>
          </w:p>
          <w:p w14:paraId="7035E7F8">
            <w:pPr>
              <w:adjustRightInd w:val="0"/>
              <w:snapToGrid w:val="0"/>
              <w:spacing w:line="360" w:lineRule="auto"/>
              <w:contextualSpacing/>
              <w:rPr>
                <w:rFonts w:ascii="宋体" w:hAnsi="宋体" w:cs="宋体"/>
                <w:snapToGrid w:val="0"/>
                <w:szCs w:val="21"/>
                <w:highlight w:val="none"/>
              </w:rPr>
            </w:pPr>
            <w:r>
              <w:rPr>
                <w:rFonts w:hint="eastAsia" w:ascii="宋体" w:hAnsi="宋体" w:cs="宋体"/>
                <w:snapToGrid w:val="0"/>
                <w:szCs w:val="21"/>
                <w:highlight w:val="none"/>
              </w:rPr>
              <w:t>地址：扬大附院西区行政楼40</w:t>
            </w:r>
            <w:r>
              <w:rPr>
                <w:rFonts w:hint="eastAsia" w:ascii="宋体" w:hAnsi="宋体" w:cs="宋体"/>
                <w:snapToGrid w:val="0"/>
                <w:szCs w:val="21"/>
                <w:highlight w:val="none"/>
                <w:lang w:val="en-US" w:eastAsia="zh-CN"/>
              </w:rPr>
              <w:t>6</w:t>
            </w:r>
            <w:r>
              <w:rPr>
                <w:rFonts w:hint="eastAsia" w:ascii="宋体" w:hAnsi="宋体" w:cs="宋体"/>
                <w:snapToGrid w:val="0"/>
                <w:szCs w:val="21"/>
                <w:highlight w:val="none"/>
              </w:rPr>
              <w:t>办公室</w:t>
            </w:r>
          </w:p>
        </w:tc>
      </w:tr>
      <w:tr w14:paraId="3625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293AA6AC">
            <w:pPr>
              <w:spacing w:line="360" w:lineRule="auto"/>
              <w:jc w:val="center"/>
              <w:rPr>
                <w:rFonts w:ascii="宋体" w:hAnsi="宋体"/>
                <w:szCs w:val="21"/>
              </w:rPr>
            </w:pPr>
            <w:r>
              <w:rPr>
                <w:rFonts w:hint="eastAsia" w:ascii="宋体" w:hAnsi="宋体"/>
                <w:szCs w:val="21"/>
              </w:rPr>
              <w:t>备注</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4A18D812">
            <w:pPr>
              <w:spacing w:line="360" w:lineRule="auto"/>
              <w:ind w:firstLine="422" w:firstLineChars="200"/>
              <w:jc w:val="left"/>
              <w:rPr>
                <w:rFonts w:ascii="宋体" w:hAnsi="宋体" w:cs="宋体"/>
                <w:szCs w:val="21"/>
              </w:rPr>
            </w:pPr>
            <w:r>
              <w:rPr>
                <w:rFonts w:hint="eastAsia" w:ascii="宋体" w:hAnsi="宋体" w:cs="宋体"/>
                <w:b/>
                <w:bCs/>
                <w:szCs w:val="21"/>
              </w:rPr>
              <w:t>未提供格式的投标人自拟。</w:t>
            </w:r>
          </w:p>
        </w:tc>
      </w:tr>
    </w:tbl>
    <w:p w14:paraId="6A971983">
      <w:pPr>
        <w:ind w:firstLine="4176" w:firstLineChars="1300"/>
        <w:rPr>
          <w:b/>
          <w:sz w:val="32"/>
          <w:szCs w:val="32"/>
        </w:rPr>
      </w:pPr>
      <w:bookmarkStart w:id="2" w:name="_Toc39744253"/>
    </w:p>
    <w:p w14:paraId="41BAAF00">
      <w:pPr>
        <w:ind w:firstLine="4176" w:firstLineChars="1300"/>
        <w:rPr>
          <w:b/>
          <w:sz w:val="32"/>
          <w:szCs w:val="32"/>
        </w:rPr>
      </w:pPr>
    </w:p>
    <w:p w14:paraId="31D868DE">
      <w:pPr>
        <w:ind w:firstLine="4176" w:firstLineChars="1300"/>
        <w:rPr>
          <w:b/>
          <w:sz w:val="32"/>
          <w:szCs w:val="32"/>
        </w:rPr>
      </w:pPr>
    </w:p>
    <w:p w14:paraId="563BECA1">
      <w:pPr>
        <w:ind w:firstLine="4176" w:firstLineChars="1300"/>
        <w:rPr>
          <w:b/>
          <w:sz w:val="32"/>
          <w:szCs w:val="32"/>
        </w:rPr>
      </w:pPr>
    </w:p>
    <w:p w14:paraId="53F1D07A">
      <w:pPr>
        <w:ind w:firstLine="4176" w:firstLineChars="1300"/>
        <w:rPr>
          <w:b/>
          <w:sz w:val="32"/>
          <w:szCs w:val="32"/>
        </w:rPr>
      </w:pPr>
    </w:p>
    <w:p w14:paraId="7ED7B90D">
      <w:pPr>
        <w:ind w:firstLine="4176" w:firstLineChars="1300"/>
        <w:rPr>
          <w:b/>
          <w:sz w:val="32"/>
          <w:szCs w:val="32"/>
        </w:rPr>
      </w:pPr>
    </w:p>
    <w:p w14:paraId="34E314AB">
      <w:pPr>
        <w:ind w:firstLine="4176" w:firstLineChars="1300"/>
        <w:rPr>
          <w:b/>
          <w:sz w:val="32"/>
          <w:szCs w:val="32"/>
        </w:rPr>
      </w:pPr>
    </w:p>
    <w:p w14:paraId="069CC229">
      <w:pPr>
        <w:ind w:firstLine="4176" w:firstLineChars="1300"/>
        <w:rPr>
          <w:b/>
          <w:sz w:val="32"/>
          <w:szCs w:val="32"/>
        </w:rPr>
      </w:pPr>
    </w:p>
    <w:p w14:paraId="46D150CC">
      <w:pPr>
        <w:ind w:firstLine="4176" w:firstLineChars="1300"/>
        <w:rPr>
          <w:b/>
          <w:sz w:val="32"/>
          <w:szCs w:val="32"/>
        </w:rPr>
      </w:pPr>
    </w:p>
    <w:p w14:paraId="67157AE6">
      <w:pPr>
        <w:pStyle w:val="2"/>
      </w:pPr>
    </w:p>
    <w:p w14:paraId="2C9BD5C1">
      <w:pPr>
        <w:ind w:firstLine="4176" w:firstLineChars="1300"/>
        <w:rPr>
          <w:rFonts w:ascii="宋体" w:hAnsi="宋体"/>
          <w:b/>
          <w:color w:val="000000" w:themeColor="text1"/>
          <w:sz w:val="32"/>
          <w:szCs w:val="32"/>
          <w14:textFill>
            <w14:solidFill>
              <w14:schemeClr w14:val="tx1"/>
            </w14:solidFill>
          </w14:textFill>
        </w:rPr>
      </w:pPr>
      <w:r>
        <w:rPr>
          <w:rFonts w:hint="eastAsia"/>
          <w:b/>
          <w:sz w:val="32"/>
          <w:szCs w:val="32"/>
        </w:rPr>
        <w:t>二、项目需求</w:t>
      </w:r>
    </w:p>
    <w:p w14:paraId="716423A7">
      <w:pPr>
        <w:keepNext w:val="0"/>
        <w:keepLines w:val="0"/>
        <w:pageBreakBefore w:val="0"/>
        <w:widowControl w:val="0"/>
        <w:kinsoku/>
        <w:wordWrap/>
        <w:overflowPunct/>
        <w:topLinePunct w:val="0"/>
        <w:bidi w:val="0"/>
        <w:adjustRightInd/>
        <w:snapToGrid/>
        <w:spacing w:line="360" w:lineRule="auto"/>
        <w:ind w:firstLine="482" w:firstLineChars="20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eastAsia="zh-CN"/>
          <w14:textFill>
            <w14:solidFill>
              <w14:schemeClr w14:val="tx1"/>
            </w14:solidFill>
          </w14:textFill>
        </w:rPr>
        <w:t>（</w:t>
      </w:r>
      <w:r>
        <w:rPr>
          <w:rFonts w:hint="eastAsia" w:ascii="宋体" w:hAnsi="宋体"/>
          <w:b/>
          <w:color w:val="000000" w:themeColor="text1"/>
          <w:sz w:val="24"/>
          <w:lang w:val="en-US" w:eastAsia="zh-CN"/>
          <w14:textFill>
            <w14:solidFill>
              <w14:schemeClr w14:val="tx1"/>
            </w14:solidFill>
          </w14:textFill>
        </w:rPr>
        <w:t>一</w:t>
      </w:r>
      <w:r>
        <w:rPr>
          <w:rFonts w:hint="eastAsia" w:ascii="宋体" w:hAnsi="宋体"/>
          <w:b/>
          <w:color w:val="000000" w:themeColor="text1"/>
          <w:sz w:val="24"/>
          <w:lang w:eastAsia="zh-CN"/>
          <w14:textFill>
            <w14:solidFill>
              <w14:schemeClr w14:val="tx1"/>
            </w14:solidFill>
          </w14:textFill>
        </w:rPr>
        <w:t>）</w:t>
      </w:r>
      <w:r>
        <w:rPr>
          <w:rFonts w:ascii="宋体" w:hAnsi="宋体"/>
          <w:b/>
          <w:color w:val="000000" w:themeColor="text1"/>
          <w:sz w:val="24"/>
          <w14:textFill>
            <w14:solidFill>
              <w14:schemeClr w14:val="tx1"/>
            </w14:solidFill>
          </w14:textFill>
        </w:rPr>
        <w:t>项目背景</w:t>
      </w:r>
    </w:p>
    <w:p w14:paraId="29B8B601">
      <w:pPr>
        <w:pStyle w:val="8"/>
        <w:keepNext w:val="0"/>
        <w:keepLines w:val="0"/>
        <w:pageBreakBefore w:val="0"/>
        <w:widowControl w:val="0"/>
        <w:kinsoku/>
        <w:wordWrap/>
        <w:overflowPunct/>
        <w:topLinePunct w:val="0"/>
        <w:bidi w:val="0"/>
        <w:adjustRightInd/>
        <w:snapToGrid/>
        <w:spacing w:line="360" w:lineRule="auto"/>
        <w:ind w:left="397" w:right="408" w:firstLine="420"/>
        <w:textAlignment w:val="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pacing w:val="-3"/>
          <w:sz w:val="24"/>
          <w:szCs w:val="24"/>
          <w14:textFill>
            <w14:solidFill>
              <w14:schemeClr w14:val="tx1"/>
            </w14:solidFill>
          </w14:textFill>
        </w:rPr>
        <w:t>扬州大学附属医院作为一所集医疗、教学、科研、急救、预防、康复为一体的综合性三级甲等医院，一直致力于提升医疗服务水平，改善患者就医体验。2018年医院建设智慧一期项目，采购部分</w:t>
      </w:r>
      <w:r>
        <w:rPr>
          <w:rFonts w:hint="eastAsia" w:ascii="宋体" w:hAnsi="宋体" w:eastAsia="宋体"/>
          <w:color w:val="000000" w:themeColor="text1"/>
          <w:sz w:val="24"/>
          <w:szCs w:val="24"/>
          <w14:textFill>
            <w14:solidFill>
              <w14:schemeClr w14:val="tx1"/>
            </w14:solidFill>
          </w14:textFill>
        </w:rPr>
        <w:t>自助机、多功能报告机、报到机、候诊屏、诊间屏等信息化服务设施，为保证这些设备正常运行及及网络正常通讯，现拟采购部分设备日常运维服务。</w:t>
      </w:r>
    </w:p>
    <w:p w14:paraId="2E2B136A">
      <w:pPr>
        <w:pStyle w:val="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397" w:leftChars="0" w:firstLine="0" w:firstLineChars="0"/>
        <w:jc w:val="left"/>
        <w:textAlignment w:val="auto"/>
        <w:rPr>
          <w:rFonts w:ascii="宋体" w:hAnsi="宋体" w:eastAsia="宋体" w:cs="Times New Roman"/>
          <w:b/>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bCs w:val="0"/>
          <w:color w:val="000000" w:themeColor="text1"/>
          <w:kern w:val="2"/>
          <w:sz w:val="24"/>
          <w:szCs w:val="24"/>
          <w:lang w:val="en-US" w:eastAsia="zh-CN" w:bidi="ar-SA"/>
          <w14:textFill>
            <w14:solidFill>
              <w14:schemeClr w14:val="tx1"/>
            </w14:solidFill>
          </w14:textFill>
        </w:rPr>
        <w:t>（二）</w:t>
      </w:r>
      <w:r>
        <w:rPr>
          <w:rFonts w:ascii="宋体" w:hAnsi="宋体" w:eastAsia="宋体" w:cs="Times New Roman"/>
          <w:b/>
          <w:bCs w:val="0"/>
          <w:color w:val="000000" w:themeColor="text1"/>
          <w:kern w:val="2"/>
          <w:sz w:val="24"/>
          <w:szCs w:val="24"/>
          <w:lang w:val="en-US" w:eastAsia="zh-CN" w:bidi="ar-SA"/>
          <w14:textFill>
            <w14:solidFill>
              <w14:schemeClr w14:val="tx1"/>
            </w14:solidFill>
          </w14:textFill>
        </w:rPr>
        <w:t>项目</w:t>
      </w:r>
      <w:r>
        <w:rPr>
          <w:rFonts w:hint="eastAsia" w:ascii="宋体" w:hAnsi="宋体" w:eastAsia="宋体" w:cs="Times New Roman"/>
          <w:b/>
          <w:bCs w:val="0"/>
          <w:color w:val="000000" w:themeColor="text1"/>
          <w:kern w:val="2"/>
          <w:sz w:val="24"/>
          <w:szCs w:val="24"/>
          <w:lang w:val="en-US" w:eastAsia="zh-CN" w:bidi="ar-SA"/>
          <w14:textFill>
            <w14:solidFill>
              <w14:schemeClr w14:val="tx1"/>
            </w14:solidFill>
          </w14:textFill>
        </w:rPr>
        <w:t>说明</w:t>
      </w:r>
    </w:p>
    <w:p w14:paraId="4594952F">
      <w:pPr>
        <w:pStyle w:val="8"/>
        <w:keepNext w:val="0"/>
        <w:keepLines w:val="0"/>
        <w:pageBreakBefore w:val="0"/>
        <w:widowControl w:val="0"/>
        <w:kinsoku/>
        <w:wordWrap/>
        <w:overflowPunct/>
        <w:topLinePunct w:val="0"/>
        <w:bidi w:val="0"/>
        <w:adjustRightInd/>
        <w:snapToGrid/>
        <w:spacing w:line="360" w:lineRule="auto"/>
        <w:ind w:left="397" w:right="408" w:firstLine="420"/>
        <w:textAlignment w:val="auto"/>
        <w:rPr>
          <w:rFonts w:ascii="宋体" w:hAnsi="宋体" w:eastAsia="宋体"/>
          <w:color w:val="000000" w:themeColor="text1"/>
          <w:spacing w:val="-3"/>
          <w:sz w:val="24"/>
          <w:szCs w:val="24"/>
          <w14:textFill>
            <w14:solidFill>
              <w14:schemeClr w14:val="tx1"/>
            </w14:solidFill>
          </w14:textFill>
        </w:rPr>
      </w:pPr>
      <w:r>
        <w:rPr>
          <w:rFonts w:hint="eastAsia" w:ascii="宋体" w:hAnsi="宋体" w:eastAsia="宋体"/>
          <w:color w:val="000000" w:themeColor="text1"/>
          <w:spacing w:val="-3"/>
          <w:sz w:val="24"/>
          <w:szCs w:val="24"/>
          <w14:textFill>
            <w14:solidFill>
              <w14:schemeClr w14:val="tx1"/>
            </w14:solidFill>
          </w14:textFill>
        </w:rPr>
        <w:t>（1）项目名称：智慧医院一期硬件维保</w:t>
      </w:r>
    </w:p>
    <w:p w14:paraId="702C1772">
      <w:pPr>
        <w:pStyle w:val="8"/>
        <w:keepNext w:val="0"/>
        <w:keepLines w:val="0"/>
        <w:pageBreakBefore w:val="0"/>
        <w:widowControl w:val="0"/>
        <w:kinsoku/>
        <w:wordWrap/>
        <w:overflowPunct/>
        <w:topLinePunct w:val="0"/>
        <w:bidi w:val="0"/>
        <w:adjustRightInd/>
        <w:snapToGrid/>
        <w:spacing w:line="360" w:lineRule="auto"/>
        <w:ind w:left="397" w:right="408" w:firstLine="420"/>
        <w:textAlignment w:val="auto"/>
        <w:rPr>
          <w:rFonts w:ascii="宋体" w:hAnsi="宋体" w:eastAsia="宋体"/>
          <w:color w:val="000000" w:themeColor="text1"/>
          <w:spacing w:val="-3"/>
          <w:sz w:val="24"/>
          <w:szCs w:val="24"/>
          <w14:textFill>
            <w14:solidFill>
              <w14:schemeClr w14:val="tx1"/>
            </w14:solidFill>
          </w14:textFill>
        </w:rPr>
      </w:pPr>
      <w:r>
        <w:rPr>
          <w:rFonts w:hint="eastAsia" w:ascii="宋体" w:hAnsi="宋体" w:eastAsia="宋体"/>
          <w:color w:val="000000" w:themeColor="text1"/>
          <w:spacing w:val="-3"/>
          <w:sz w:val="24"/>
          <w:szCs w:val="24"/>
          <w14:textFill>
            <w14:solidFill>
              <w14:schemeClr w14:val="tx1"/>
            </w14:solidFill>
          </w14:textFill>
        </w:rPr>
        <w:t>（2）服务时间：一年</w:t>
      </w:r>
    </w:p>
    <w:p w14:paraId="668C556A">
      <w:pPr>
        <w:pStyle w:val="8"/>
        <w:keepNext w:val="0"/>
        <w:keepLines w:val="0"/>
        <w:pageBreakBefore w:val="0"/>
        <w:widowControl w:val="0"/>
        <w:kinsoku/>
        <w:wordWrap/>
        <w:overflowPunct/>
        <w:topLinePunct w:val="0"/>
        <w:bidi w:val="0"/>
        <w:adjustRightInd/>
        <w:snapToGrid/>
        <w:spacing w:line="360" w:lineRule="auto"/>
        <w:ind w:left="397" w:right="408" w:firstLine="420"/>
        <w:textAlignment w:val="auto"/>
        <w:rPr>
          <w:rFonts w:ascii="宋体" w:hAnsi="宋体" w:eastAsia="宋体"/>
          <w:color w:val="000000" w:themeColor="text1"/>
          <w:spacing w:val="-3"/>
          <w:sz w:val="24"/>
          <w:szCs w:val="24"/>
          <w14:textFill>
            <w14:solidFill>
              <w14:schemeClr w14:val="tx1"/>
            </w14:solidFill>
          </w14:textFill>
        </w:rPr>
      </w:pPr>
      <w:r>
        <w:rPr>
          <w:rFonts w:hint="eastAsia" w:ascii="宋体" w:hAnsi="宋体" w:eastAsia="宋体"/>
          <w:color w:val="000000" w:themeColor="text1"/>
          <w:spacing w:val="-3"/>
          <w:sz w:val="24"/>
          <w:szCs w:val="24"/>
          <w14:textFill>
            <w14:solidFill>
              <w14:schemeClr w14:val="tx1"/>
            </w14:solidFill>
          </w14:textFill>
        </w:rPr>
        <w:t>（3）</w:t>
      </w:r>
      <w:r>
        <w:rPr>
          <w:rFonts w:hint="eastAsia" w:ascii="宋体" w:hAnsi="宋体" w:eastAsia="宋体"/>
          <w:b/>
          <w:color w:val="000000" w:themeColor="text1"/>
          <w:spacing w:val="-3"/>
          <w:sz w:val="24"/>
          <w:szCs w:val="24"/>
          <w14:textFill>
            <w14:solidFill>
              <w14:schemeClr w14:val="tx1"/>
            </w14:solidFill>
          </w14:textFill>
        </w:rPr>
        <w:t>项目标的：25万</w:t>
      </w:r>
    </w:p>
    <w:p w14:paraId="30B5BE04">
      <w:pPr>
        <w:pStyle w:val="8"/>
        <w:keepNext w:val="0"/>
        <w:keepLines w:val="0"/>
        <w:pageBreakBefore w:val="0"/>
        <w:widowControl w:val="0"/>
        <w:kinsoku/>
        <w:wordWrap/>
        <w:overflowPunct/>
        <w:topLinePunct w:val="0"/>
        <w:bidi w:val="0"/>
        <w:adjustRightInd/>
        <w:snapToGrid/>
        <w:spacing w:line="360" w:lineRule="auto"/>
        <w:ind w:left="397" w:right="408" w:firstLine="420"/>
        <w:textAlignment w:val="auto"/>
        <w:rPr>
          <w:rFonts w:ascii="宋体" w:hAnsi="宋体" w:eastAsia="宋体"/>
          <w:color w:val="000000" w:themeColor="text1"/>
          <w:spacing w:val="-3"/>
          <w:sz w:val="24"/>
          <w:szCs w:val="24"/>
          <w14:textFill>
            <w14:solidFill>
              <w14:schemeClr w14:val="tx1"/>
            </w14:solidFill>
          </w14:textFill>
        </w:rPr>
      </w:pPr>
      <w:r>
        <w:rPr>
          <w:rFonts w:hint="eastAsia" w:ascii="宋体" w:hAnsi="宋体" w:eastAsia="宋体"/>
          <w:color w:val="000000" w:themeColor="text1"/>
          <w:spacing w:val="-3"/>
          <w:sz w:val="24"/>
          <w:szCs w:val="24"/>
          <w14:textFill>
            <w14:solidFill>
              <w14:schemeClr w14:val="tx1"/>
            </w14:solidFill>
          </w14:textFill>
        </w:rPr>
        <w:t>（4）</w:t>
      </w:r>
      <w:r>
        <w:rPr>
          <w:rFonts w:hint="eastAsia" w:ascii="宋体" w:hAnsi="宋体" w:eastAsia="宋体"/>
          <w:b/>
          <w:color w:val="000000" w:themeColor="text1"/>
          <w:spacing w:val="-3"/>
          <w:sz w:val="24"/>
          <w:szCs w:val="24"/>
          <w14:textFill>
            <w14:solidFill>
              <w14:schemeClr w14:val="tx1"/>
            </w14:solidFill>
          </w14:textFill>
        </w:rPr>
        <w:t>本项目面向</w:t>
      </w:r>
      <w:r>
        <w:rPr>
          <w:rFonts w:hint="eastAsia" w:ascii="宋体" w:hAnsi="宋体" w:eastAsia="宋体"/>
          <w:b/>
          <w:color w:val="000000" w:themeColor="text1"/>
          <w:spacing w:val="-3"/>
          <w:sz w:val="24"/>
          <w:szCs w:val="24"/>
          <w:u w:val="single"/>
          <w14:textFill>
            <w14:solidFill>
              <w14:schemeClr w14:val="tx1"/>
            </w14:solidFill>
          </w14:textFill>
        </w:rPr>
        <w:t>中小微企业</w:t>
      </w:r>
      <w:r>
        <w:rPr>
          <w:rFonts w:hint="eastAsia" w:ascii="宋体" w:hAnsi="宋体" w:eastAsia="宋体"/>
          <w:b/>
          <w:color w:val="000000" w:themeColor="text1"/>
          <w:spacing w:val="-3"/>
          <w:sz w:val="24"/>
          <w:szCs w:val="24"/>
          <w14:textFill>
            <w14:solidFill>
              <w14:schemeClr w14:val="tx1"/>
            </w14:solidFill>
          </w14:textFill>
        </w:rPr>
        <w:t>公开招标。</w:t>
      </w:r>
    </w:p>
    <w:p w14:paraId="4747789E">
      <w:pPr>
        <w:pStyle w:val="8"/>
        <w:keepNext w:val="0"/>
        <w:keepLines w:val="0"/>
        <w:pageBreakBefore w:val="0"/>
        <w:widowControl w:val="0"/>
        <w:kinsoku/>
        <w:wordWrap/>
        <w:overflowPunct/>
        <w:topLinePunct w:val="0"/>
        <w:bidi w:val="0"/>
        <w:adjustRightInd/>
        <w:snapToGrid/>
        <w:spacing w:line="360" w:lineRule="auto"/>
        <w:ind w:left="397" w:right="408" w:firstLine="420"/>
        <w:textAlignment w:val="auto"/>
        <w:rPr>
          <w:rFonts w:ascii="宋体" w:hAnsi="宋体" w:eastAsia="宋体"/>
          <w:b/>
          <w:color w:val="000000" w:themeColor="text1"/>
          <w:spacing w:val="-3"/>
          <w:sz w:val="24"/>
          <w:szCs w:val="24"/>
          <w14:textFill>
            <w14:solidFill>
              <w14:schemeClr w14:val="tx1"/>
            </w14:solidFill>
          </w14:textFill>
        </w:rPr>
      </w:pPr>
      <w:r>
        <w:rPr>
          <w:rFonts w:hint="eastAsia" w:ascii="宋体" w:hAnsi="宋体" w:eastAsia="宋体"/>
          <w:color w:val="000000" w:themeColor="text1"/>
          <w:spacing w:val="-3"/>
          <w:sz w:val="24"/>
          <w:szCs w:val="24"/>
          <w14:textFill>
            <w14:solidFill>
              <w14:schemeClr w14:val="tx1"/>
            </w14:solidFill>
          </w14:textFill>
        </w:rPr>
        <w:t>（5）多功能自助终端维保费用按月结算，其它维保项目按季度付款，院方每月进行服务考核</w:t>
      </w:r>
      <w:r>
        <w:rPr>
          <w:rFonts w:hint="eastAsia" w:ascii="宋体" w:hAnsi="宋体" w:eastAsia="宋体"/>
          <w:b/>
          <w:color w:val="000000" w:themeColor="text1"/>
          <w:spacing w:val="-3"/>
          <w:sz w:val="24"/>
          <w:szCs w:val="24"/>
          <w14:textFill>
            <w14:solidFill>
              <w14:schemeClr w14:val="tx1"/>
            </w14:solidFill>
          </w14:textFill>
        </w:rPr>
        <w:t>（若因医院系统更换原因，相关分项系统进行更换，则该分项维保终止，分项维保费用以该分项新系统上线月份为准）。</w:t>
      </w:r>
    </w:p>
    <w:p w14:paraId="1BEB2516">
      <w:pPr>
        <w:pStyle w:val="8"/>
        <w:keepNext w:val="0"/>
        <w:keepLines w:val="0"/>
        <w:pageBreakBefore w:val="0"/>
        <w:widowControl w:val="0"/>
        <w:kinsoku/>
        <w:wordWrap/>
        <w:overflowPunct/>
        <w:topLinePunct w:val="0"/>
        <w:bidi w:val="0"/>
        <w:adjustRightInd/>
        <w:snapToGrid/>
        <w:spacing w:line="360" w:lineRule="auto"/>
        <w:ind w:left="397" w:right="408" w:firstLine="420"/>
        <w:textAlignment w:val="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pacing w:val="-3"/>
          <w:sz w:val="24"/>
          <w:szCs w:val="24"/>
          <w14:textFill>
            <w14:solidFill>
              <w14:schemeClr w14:val="tx1"/>
            </w14:solidFill>
          </w14:textFill>
        </w:rPr>
        <w:t>（6）</w:t>
      </w:r>
      <w:r>
        <w:rPr>
          <w:rFonts w:hint="eastAsia" w:ascii="宋体" w:hAnsi="宋体" w:eastAsia="宋体"/>
          <w:color w:val="000000" w:themeColor="text1"/>
          <w:sz w:val="24"/>
          <w:szCs w:val="24"/>
          <w14:textFill>
            <w14:solidFill>
              <w14:schemeClr w14:val="tx1"/>
            </w14:solidFill>
          </w14:textFill>
        </w:rPr>
        <w:t>服务商提前对医院硬件设备数量及配置进行谈判了解。</w:t>
      </w:r>
    </w:p>
    <w:p w14:paraId="26FA6EBF">
      <w:pPr>
        <w:pStyle w:val="8"/>
        <w:keepNext w:val="0"/>
        <w:keepLines w:val="0"/>
        <w:pageBreakBefore w:val="0"/>
        <w:widowControl w:val="0"/>
        <w:kinsoku/>
        <w:wordWrap/>
        <w:overflowPunct/>
        <w:topLinePunct w:val="0"/>
        <w:bidi w:val="0"/>
        <w:adjustRightInd/>
        <w:snapToGrid/>
        <w:spacing w:line="360" w:lineRule="auto"/>
        <w:ind w:left="397" w:right="408" w:firstLine="420"/>
        <w:textAlignment w:val="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（7）本招标文件中标注斜体字加下划线的款项为实质性要求和条件，投标人必须逐条做出满足要求和条件的响应，否则将按无效响应处理。</w:t>
      </w:r>
    </w:p>
    <w:p w14:paraId="7077603D">
      <w:pPr>
        <w:pStyle w:val="8"/>
        <w:keepNext w:val="0"/>
        <w:keepLines w:val="0"/>
        <w:pageBreakBefore w:val="0"/>
        <w:widowControl w:val="0"/>
        <w:kinsoku/>
        <w:wordWrap/>
        <w:overflowPunct/>
        <w:topLinePunct w:val="0"/>
        <w:bidi w:val="0"/>
        <w:adjustRightInd/>
        <w:snapToGrid/>
        <w:spacing w:line="360" w:lineRule="auto"/>
        <w:ind w:left="397" w:right="408" w:firstLine="420"/>
        <w:textAlignment w:val="auto"/>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（8）在合同期内，由于项目属性发生变化或者涉及替代的项目，甲方有权随时终止该项目，并按照自然月支付乙方维保费用</w:t>
      </w:r>
      <w:r>
        <w:rPr>
          <w:rFonts w:hint="eastAsia" w:ascii="宋体" w:hAnsi="宋体" w:eastAsia="宋体"/>
          <w:color w:val="000000" w:themeColor="text1"/>
          <w:sz w:val="24"/>
          <w:szCs w:val="24"/>
          <w:lang w:eastAsia="zh-CN"/>
          <w14:textFill>
            <w14:solidFill>
              <w14:schemeClr w14:val="tx1"/>
            </w14:solidFill>
          </w14:textFill>
        </w:rPr>
        <w:t>。</w:t>
      </w:r>
    </w:p>
    <w:p w14:paraId="2EB3EF9C">
      <w:pPr>
        <w:pStyle w:val="8"/>
        <w:keepNext w:val="0"/>
        <w:keepLines w:val="0"/>
        <w:pageBreakBefore w:val="0"/>
        <w:widowControl w:val="0"/>
        <w:kinsoku/>
        <w:wordWrap/>
        <w:overflowPunct/>
        <w:topLinePunct w:val="0"/>
        <w:bidi w:val="0"/>
        <w:adjustRightInd/>
        <w:snapToGrid/>
        <w:spacing w:line="360" w:lineRule="auto"/>
        <w:ind w:left="397" w:right="408" w:firstLine="420"/>
        <w:textAlignment w:val="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（9）本项目</w:t>
      </w:r>
      <w:r>
        <w:rPr>
          <w:rFonts w:hint="eastAsia" w:ascii="宋体" w:hAnsi="宋体" w:eastAsia="宋体"/>
          <w:b/>
          <w:color w:val="000000" w:themeColor="text1"/>
          <w:sz w:val="24"/>
          <w:szCs w:val="24"/>
          <w14:textFill>
            <w14:solidFill>
              <w14:schemeClr w14:val="tx1"/>
            </w14:solidFill>
          </w14:textFill>
        </w:rPr>
        <w:t>不支持联合体投标。</w:t>
      </w:r>
    </w:p>
    <w:p w14:paraId="47FBF96E">
      <w:pPr>
        <w:pStyle w:val="8"/>
        <w:keepNext w:val="0"/>
        <w:keepLines w:val="0"/>
        <w:pageBreakBefore w:val="0"/>
        <w:widowControl w:val="0"/>
        <w:kinsoku/>
        <w:wordWrap/>
        <w:overflowPunct/>
        <w:topLinePunct w:val="0"/>
        <w:bidi w:val="0"/>
        <w:adjustRightInd/>
        <w:snapToGrid/>
        <w:spacing w:line="360" w:lineRule="auto"/>
        <w:ind w:left="397" w:right="408" w:firstLine="420"/>
        <w:textAlignment w:val="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（10）本项目</w:t>
      </w:r>
      <w:r>
        <w:rPr>
          <w:rFonts w:hint="eastAsia" w:ascii="宋体" w:hAnsi="宋体" w:eastAsia="宋体"/>
          <w:b/>
          <w:color w:val="000000" w:themeColor="text1"/>
          <w:sz w:val="24"/>
          <w:szCs w:val="24"/>
          <w14:textFill>
            <w14:solidFill>
              <w14:schemeClr w14:val="tx1"/>
            </w14:solidFill>
          </w14:textFill>
        </w:rPr>
        <w:t>不允许分包或转包。</w:t>
      </w:r>
    </w:p>
    <w:p w14:paraId="289CCEEC">
      <w:pPr>
        <w:keepNext w:val="0"/>
        <w:keepLines w:val="0"/>
        <w:pageBreakBefore w:val="0"/>
        <w:widowControl w:val="0"/>
        <w:kinsoku/>
        <w:wordWrap/>
        <w:overflowPunct/>
        <w:topLinePunct w:val="0"/>
        <w:bidi w:val="0"/>
        <w:adjustRightInd/>
        <w:snapToGrid/>
        <w:spacing w:line="360" w:lineRule="auto"/>
        <w:textAlignment w:val="auto"/>
        <w:rPr>
          <w:rFonts w:ascii="宋体" w:hAnsi="宋体" w:eastAsia="宋体" w:cs="Times New Roman"/>
          <w:b/>
          <w:bCs w:val="0"/>
          <w:color w:val="000000" w:themeColor="text1"/>
          <w:kern w:val="2"/>
          <w:sz w:val="24"/>
          <w:szCs w:val="24"/>
          <w:lang w:val="en-US" w:eastAsia="zh-CN" w:bidi="ar-SA"/>
          <w14:textFill>
            <w14:solidFill>
              <w14:schemeClr w14:val="tx1"/>
            </w14:solidFill>
          </w14:textFill>
        </w:rPr>
      </w:pPr>
      <w:r>
        <w:rPr>
          <w:rFonts w:hint="eastAsia" w:ascii="宋体" w:hAnsi="宋体" w:cs="Times New Roman"/>
          <w:b/>
          <w:bCs w:val="0"/>
          <w:color w:val="000000" w:themeColor="text1"/>
          <w:kern w:val="2"/>
          <w:sz w:val="24"/>
          <w:szCs w:val="24"/>
          <w:lang w:val="en-US" w:eastAsia="zh-CN" w:bidi="ar-SA"/>
          <w14:textFill>
            <w14:solidFill>
              <w14:schemeClr w14:val="tx1"/>
            </w14:solidFill>
          </w14:textFill>
        </w:rPr>
        <w:t>（三）</w:t>
      </w:r>
      <w:r>
        <w:rPr>
          <w:rFonts w:hint="eastAsia" w:ascii="宋体" w:hAnsi="宋体" w:eastAsia="宋体" w:cs="Times New Roman"/>
          <w:b/>
          <w:bCs w:val="0"/>
          <w:color w:val="000000" w:themeColor="text1"/>
          <w:kern w:val="2"/>
          <w:sz w:val="24"/>
          <w:szCs w:val="24"/>
          <w:lang w:val="en-US" w:eastAsia="zh-CN" w:bidi="ar-SA"/>
          <w14:textFill>
            <w14:solidFill>
              <w14:schemeClr w14:val="tx1"/>
            </w14:solidFill>
          </w14:textFill>
        </w:rPr>
        <w:t>维保设备清单</w:t>
      </w:r>
    </w:p>
    <w:p w14:paraId="22BB0509">
      <w:pPr>
        <w:pStyle w:val="8"/>
        <w:keepNext w:val="0"/>
        <w:keepLines w:val="0"/>
        <w:pageBreakBefore w:val="0"/>
        <w:widowControl w:val="0"/>
        <w:kinsoku/>
        <w:wordWrap/>
        <w:overflowPunct/>
        <w:topLinePunct w:val="0"/>
        <w:bidi w:val="0"/>
        <w:adjustRightInd/>
        <w:snapToGrid/>
        <w:spacing w:line="360" w:lineRule="auto"/>
        <w:ind w:left="397" w:right="408" w:firstLine="420"/>
        <w:textAlignment w:val="auto"/>
        <w:rPr>
          <w:rFonts w:ascii="宋体" w:hAnsi="宋体" w:eastAsia="宋体"/>
          <w:color w:val="000000" w:themeColor="text1"/>
          <w:spacing w:val="-3"/>
          <w:sz w:val="24"/>
          <w:szCs w:val="24"/>
          <w14:textFill>
            <w14:solidFill>
              <w14:schemeClr w14:val="tx1"/>
            </w14:solidFill>
          </w14:textFill>
        </w:rPr>
      </w:pPr>
      <w:r>
        <w:rPr>
          <w:rFonts w:hint="eastAsia" w:ascii="宋体" w:hAnsi="宋体" w:eastAsia="宋体"/>
          <w:color w:val="000000" w:themeColor="text1"/>
          <w:spacing w:val="-3"/>
          <w:sz w:val="24"/>
          <w:szCs w:val="24"/>
          <w14:textFill>
            <w14:solidFill>
              <w14:schemeClr w14:val="tx1"/>
            </w14:solidFill>
          </w14:textFill>
        </w:rPr>
        <w:t>本维保服务涉及</w:t>
      </w:r>
      <w:r>
        <w:rPr>
          <w:rFonts w:hint="eastAsia" w:ascii="宋体" w:hAnsi="宋体" w:eastAsia="宋体"/>
          <w:color w:val="000000" w:themeColor="text1"/>
          <w:sz w:val="24"/>
          <w:szCs w:val="24"/>
          <w:u w:val="single"/>
          <w14:textFill>
            <w14:solidFill>
              <w14:schemeClr w14:val="tx1"/>
            </w14:solidFill>
          </w14:textFill>
        </w:rPr>
        <w:t>自助机、多功能报告机、报到机、候诊屏、诊间屏的</w:t>
      </w:r>
      <w:r>
        <w:rPr>
          <w:rFonts w:hint="eastAsia" w:ascii="宋体" w:hAnsi="宋体" w:eastAsia="宋体"/>
          <w:color w:val="000000" w:themeColor="text1"/>
          <w:sz w:val="24"/>
          <w:szCs w:val="24"/>
          <w14:textFill>
            <w14:solidFill>
              <w14:schemeClr w14:val="tx1"/>
            </w14:solidFill>
          </w14:textFill>
        </w:rPr>
        <w:t>设备的日常维护、维修（含配件），</w:t>
      </w:r>
      <w:r>
        <w:rPr>
          <w:rFonts w:hint="eastAsia" w:ascii="宋体" w:hAnsi="宋体" w:eastAsia="宋体"/>
          <w:color w:val="000000" w:themeColor="text1"/>
          <w:spacing w:val="-3"/>
          <w:sz w:val="24"/>
          <w:szCs w:val="24"/>
          <w14:textFill>
            <w14:solidFill>
              <w14:schemeClr w14:val="tx1"/>
            </w14:solidFill>
          </w14:textFill>
        </w:rPr>
        <w:t xml:space="preserve"> 维保服务设备清单如下：</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5596"/>
        <w:gridCol w:w="2003"/>
        <w:gridCol w:w="1383"/>
      </w:tblGrid>
      <w:tr w14:paraId="20261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6" w:type="dxa"/>
            <w:noWrap/>
            <w:vAlign w:val="center"/>
          </w:tcPr>
          <w:p w14:paraId="7BBCE0D0">
            <w:pPr>
              <w:widowControl/>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szCs w:val="21"/>
                <w14:textFill>
                  <w14:solidFill>
                    <w14:schemeClr w14:val="tx1"/>
                  </w14:solidFill>
                </w14:textFill>
              </w:rPr>
              <w:t>序号</w:t>
            </w:r>
          </w:p>
        </w:tc>
        <w:tc>
          <w:tcPr>
            <w:tcW w:w="5596" w:type="dxa"/>
            <w:noWrap/>
            <w:vAlign w:val="center"/>
          </w:tcPr>
          <w:p w14:paraId="180994C2">
            <w:pPr>
              <w:widowControl/>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设备名称</w:t>
            </w:r>
          </w:p>
        </w:tc>
        <w:tc>
          <w:tcPr>
            <w:tcW w:w="2003" w:type="dxa"/>
            <w:noWrap/>
            <w:vAlign w:val="center"/>
          </w:tcPr>
          <w:p w14:paraId="429CA06E">
            <w:pPr>
              <w:widowControl/>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原设备提供商</w:t>
            </w:r>
          </w:p>
        </w:tc>
        <w:tc>
          <w:tcPr>
            <w:tcW w:w="1383" w:type="dxa"/>
            <w:noWrap/>
            <w:vAlign w:val="center"/>
          </w:tcPr>
          <w:p w14:paraId="0DC38085">
            <w:pPr>
              <w:widowControl/>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数量</w:t>
            </w:r>
          </w:p>
        </w:tc>
      </w:tr>
      <w:tr w14:paraId="11FED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6" w:type="dxa"/>
            <w:noWrap/>
            <w:vAlign w:val="center"/>
          </w:tcPr>
          <w:p w14:paraId="708C8A31">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p>
        </w:tc>
        <w:tc>
          <w:tcPr>
            <w:tcW w:w="5596" w:type="dxa"/>
            <w:noWrap/>
            <w:vAlign w:val="center"/>
          </w:tcPr>
          <w:p w14:paraId="5A9E7D99">
            <w:pPr>
              <w:widowControl/>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自助报到机</w:t>
            </w:r>
          </w:p>
        </w:tc>
        <w:tc>
          <w:tcPr>
            <w:tcW w:w="2003" w:type="dxa"/>
            <w:noWrap/>
            <w:vAlign w:val="center"/>
          </w:tcPr>
          <w:p w14:paraId="0D4543E8">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南师大</w:t>
            </w:r>
          </w:p>
        </w:tc>
        <w:tc>
          <w:tcPr>
            <w:tcW w:w="1383" w:type="dxa"/>
            <w:noWrap/>
            <w:vAlign w:val="center"/>
          </w:tcPr>
          <w:p w14:paraId="354ACF48">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32台</w:t>
            </w:r>
          </w:p>
        </w:tc>
      </w:tr>
      <w:tr w14:paraId="76C36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6" w:type="dxa"/>
            <w:noWrap/>
            <w:vAlign w:val="center"/>
          </w:tcPr>
          <w:p w14:paraId="78E1026D">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5596" w:type="dxa"/>
            <w:noWrap/>
            <w:vAlign w:val="center"/>
          </w:tcPr>
          <w:p w14:paraId="6B2706CE">
            <w:pPr>
              <w:widowControl/>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55英寸候诊显示屏（含Windows控制器,显示屏）</w:t>
            </w:r>
          </w:p>
        </w:tc>
        <w:tc>
          <w:tcPr>
            <w:tcW w:w="2003" w:type="dxa"/>
            <w:noWrap/>
            <w:vAlign w:val="center"/>
          </w:tcPr>
          <w:p w14:paraId="533D0CBD">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南师大</w:t>
            </w:r>
          </w:p>
        </w:tc>
        <w:tc>
          <w:tcPr>
            <w:tcW w:w="1383" w:type="dxa"/>
            <w:noWrap/>
            <w:vAlign w:val="center"/>
          </w:tcPr>
          <w:p w14:paraId="681E8AE5">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29套</w:t>
            </w:r>
          </w:p>
        </w:tc>
      </w:tr>
      <w:tr w14:paraId="761AB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6" w:type="dxa"/>
            <w:noWrap/>
            <w:vAlign w:val="center"/>
          </w:tcPr>
          <w:p w14:paraId="40E175E0">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p>
        </w:tc>
        <w:tc>
          <w:tcPr>
            <w:tcW w:w="5596" w:type="dxa"/>
            <w:noWrap/>
            <w:vAlign w:val="center"/>
          </w:tcPr>
          <w:p w14:paraId="2473ECAA">
            <w:pPr>
              <w:widowControl/>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32英寸窗口显示屏（含Windows控制器,显示屏）</w:t>
            </w:r>
          </w:p>
        </w:tc>
        <w:tc>
          <w:tcPr>
            <w:tcW w:w="2003" w:type="dxa"/>
            <w:noWrap/>
            <w:vAlign w:val="center"/>
          </w:tcPr>
          <w:p w14:paraId="0E4B0AE1">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南师大</w:t>
            </w:r>
          </w:p>
        </w:tc>
        <w:tc>
          <w:tcPr>
            <w:tcW w:w="1383" w:type="dxa"/>
            <w:noWrap/>
            <w:vAlign w:val="center"/>
          </w:tcPr>
          <w:p w14:paraId="6FED1A66">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33套</w:t>
            </w:r>
          </w:p>
        </w:tc>
      </w:tr>
      <w:tr w14:paraId="0364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6" w:type="dxa"/>
            <w:noWrap/>
            <w:vAlign w:val="center"/>
          </w:tcPr>
          <w:p w14:paraId="792754F6">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w:t>
            </w:r>
          </w:p>
        </w:tc>
        <w:tc>
          <w:tcPr>
            <w:tcW w:w="5596" w:type="dxa"/>
            <w:noWrap/>
            <w:vAlign w:val="center"/>
          </w:tcPr>
          <w:p w14:paraId="74F3592D">
            <w:pPr>
              <w:widowControl/>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价格公示信息显示屏（含Windows控制器,显示屏）</w:t>
            </w:r>
          </w:p>
        </w:tc>
        <w:tc>
          <w:tcPr>
            <w:tcW w:w="2003" w:type="dxa"/>
            <w:noWrap/>
            <w:vAlign w:val="center"/>
          </w:tcPr>
          <w:p w14:paraId="36B0FE45">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南师大</w:t>
            </w:r>
          </w:p>
        </w:tc>
        <w:tc>
          <w:tcPr>
            <w:tcW w:w="1383" w:type="dxa"/>
            <w:noWrap/>
            <w:vAlign w:val="center"/>
          </w:tcPr>
          <w:p w14:paraId="3F177EB3">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5套</w:t>
            </w:r>
          </w:p>
        </w:tc>
      </w:tr>
      <w:tr w14:paraId="0CB03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6" w:type="dxa"/>
            <w:noWrap/>
            <w:vAlign w:val="center"/>
          </w:tcPr>
          <w:p w14:paraId="3DBD35A9">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w:t>
            </w:r>
          </w:p>
        </w:tc>
        <w:tc>
          <w:tcPr>
            <w:tcW w:w="5596" w:type="dxa"/>
            <w:noWrap/>
            <w:vAlign w:val="center"/>
          </w:tcPr>
          <w:p w14:paraId="1EC06339">
            <w:pPr>
              <w:widowControl/>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22英寸诊间分诊显示屏（含Windows控制器,显示屏）</w:t>
            </w:r>
          </w:p>
        </w:tc>
        <w:tc>
          <w:tcPr>
            <w:tcW w:w="2003" w:type="dxa"/>
            <w:noWrap/>
            <w:vAlign w:val="center"/>
          </w:tcPr>
          <w:p w14:paraId="55AB387B">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南师大</w:t>
            </w:r>
          </w:p>
        </w:tc>
        <w:tc>
          <w:tcPr>
            <w:tcW w:w="1383" w:type="dxa"/>
            <w:noWrap/>
            <w:vAlign w:val="center"/>
          </w:tcPr>
          <w:p w14:paraId="24A2980F">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100套</w:t>
            </w:r>
          </w:p>
        </w:tc>
      </w:tr>
      <w:tr w14:paraId="3B96C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6" w:type="dxa"/>
            <w:noWrap/>
            <w:vAlign w:val="center"/>
          </w:tcPr>
          <w:p w14:paraId="5EECC670">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w:t>
            </w:r>
          </w:p>
        </w:tc>
        <w:tc>
          <w:tcPr>
            <w:tcW w:w="5596" w:type="dxa"/>
            <w:noWrap/>
            <w:vAlign w:val="center"/>
          </w:tcPr>
          <w:p w14:paraId="3C85A74E">
            <w:pPr>
              <w:widowControl/>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停诊信息显示屏（含Windows控制器,显示屏）</w:t>
            </w:r>
          </w:p>
        </w:tc>
        <w:tc>
          <w:tcPr>
            <w:tcW w:w="2003" w:type="dxa"/>
            <w:noWrap/>
            <w:vAlign w:val="center"/>
          </w:tcPr>
          <w:p w14:paraId="6E703566">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南师大</w:t>
            </w:r>
          </w:p>
        </w:tc>
        <w:tc>
          <w:tcPr>
            <w:tcW w:w="1383" w:type="dxa"/>
            <w:noWrap/>
            <w:vAlign w:val="center"/>
          </w:tcPr>
          <w:p w14:paraId="61BD70A1">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2套</w:t>
            </w:r>
          </w:p>
        </w:tc>
      </w:tr>
      <w:tr w14:paraId="7EA2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6" w:type="dxa"/>
            <w:noWrap/>
            <w:vAlign w:val="center"/>
          </w:tcPr>
          <w:p w14:paraId="21E83DF6">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w:t>
            </w:r>
          </w:p>
        </w:tc>
        <w:tc>
          <w:tcPr>
            <w:tcW w:w="5596" w:type="dxa"/>
            <w:noWrap/>
            <w:vAlign w:val="center"/>
          </w:tcPr>
          <w:p w14:paraId="659DC36F">
            <w:pPr>
              <w:widowControl/>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多功能自助终端  </w:t>
            </w:r>
          </w:p>
        </w:tc>
        <w:tc>
          <w:tcPr>
            <w:tcW w:w="2003" w:type="dxa"/>
            <w:noWrap/>
            <w:vAlign w:val="center"/>
          </w:tcPr>
          <w:p w14:paraId="705F5496">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易联众</w:t>
            </w:r>
          </w:p>
        </w:tc>
        <w:tc>
          <w:tcPr>
            <w:tcW w:w="1383" w:type="dxa"/>
            <w:noWrap/>
            <w:vAlign w:val="center"/>
          </w:tcPr>
          <w:p w14:paraId="143CE17A">
            <w:pPr>
              <w:widowControl/>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45</w:t>
            </w:r>
            <w:r>
              <w:rPr>
                <w:rFonts w:hint="eastAsia" w:ascii="宋体" w:hAnsi="宋体"/>
                <w:color w:val="000000" w:themeColor="text1"/>
                <w14:textFill>
                  <w14:solidFill>
                    <w14:schemeClr w14:val="tx1"/>
                  </w14:solidFill>
                </w14:textFill>
              </w:rPr>
              <w:t>台</w:t>
            </w:r>
          </w:p>
        </w:tc>
      </w:tr>
    </w:tbl>
    <w:p w14:paraId="434D7F25">
      <w:pPr>
        <w:pStyle w:val="8"/>
        <w:pageBreakBefore w:val="0"/>
        <w:widowControl w:val="0"/>
        <w:kinsoku/>
        <w:wordWrap/>
        <w:overflowPunct/>
        <w:topLinePunct w:val="0"/>
        <w:bidi w:val="0"/>
        <w:spacing w:line="360" w:lineRule="auto"/>
        <w:textAlignment w:val="auto"/>
        <w:rPr>
          <w:rFonts w:ascii="宋体" w:hAnsi="宋体" w:eastAsia="宋体"/>
          <w:b/>
          <w:color w:val="000000" w:themeColor="text1"/>
          <w14:textFill>
            <w14:solidFill>
              <w14:schemeClr w14:val="tx1"/>
            </w14:solidFill>
          </w14:textFill>
        </w:rPr>
      </w:pPr>
      <w:r>
        <w:rPr>
          <w:rFonts w:hint="eastAsia" w:ascii="宋体" w:hAnsi="宋体" w:eastAsia="宋体"/>
          <w:b/>
          <w:color w:val="000000" w:themeColor="text1"/>
          <w14:textFill>
            <w14:solidFill>
              <w14:schemeClr w14:val="tx1"/>
            </w14:solidFill>
          </w14:textFill>
        </w:rPr>
        <w:t>报价按上表项目分项报价</w:t>
      </w:r>
    </w:p>
    <w:p w14:paraId="0F137FE4">
      <w:pPr>
        <w:pStyle w:val="4"/>
        <w:keepNext w:val="0"/>
        <w:keepLines w:val="0"/>
        <w:pageBreakBefore w:val="0"/>
        <w:widowControl w:val="0"/>
        <w:numPr>
          <w:ilvl w:val="0"/>
          <w:numId w:val="0"/>
        </w:numPr>
        <w:kinsoku/>
        <w:wordWrap/>
        <w:overflowPunct/>
        <w:topLinePunct w:val="0"/>
        <w:autoSpaceDE w:val="0"/>
        <w:autoSpaceDN w:val="0"/>
        <w:bidi w:val="0"/>
        <w:spacing w:line="360" w:lineRule="auto"/>
        <w:jc w:val="left"/>
        <w:textAlignment w:val="auto"/>
        <w:rPr>
          <w:rFonts w:hint="eastAsia" w:ascii="宋体" w:hAnsi="宋体" w:eastAsia="宋体" w:cs="Times New Roman"/>
          <w:b/>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bCs w:val="0"/>
          <w:color w:val="000000" w:themeColor="text1"/>
          <w:kern w:val="2"/>
          <w:sz w:val="24"/>
          <w:szCs w:val="24"/>
          <w:lang w:val="en-US" w:eastAsia="zh-CN" w:bidi="ar-SA"/>
          <w14:textFill>
            <w14:solidFill>
              <w14:schemeClr w14:val="tx1"/>
            </w14:solidFill>
          </w14:textFill>
        </w:rPr>
        <w:t>（四）服务要求</w:t>
      </w:r>
    </w:p>
    <w:p w14:paraId="7A1E124F">
      <w:pPr>
        <w:pageBreakBefore w:val="0"/>
        <w:widowControl w:val="0"/>
        <w:kinsoku/>
        <w:wordWrap/>
        <w:overflowPunct/>
        <w:topLinePunct w:val="0"/>
        <w:bidi w:val="0"/>
        <w:spacing w:line="360" w:lineRule="auto"/>
        <w:ind w:firstLine="480" w:firstLineChars="200"/>
        <w:textAlignment w:val="auto"/>
        <w:rPr>
          <w:rFonts w:hint="eastAsia" w:ascii="宋体" w:hAnsi="宋体" w:eastAsia="宋体"/>
          <w:sz w:val="24"/>
          <w:lang w:eastAsia="zh-CN"/>
        </w:rPr>
      </w:pPr>
      <w:r>
        <w:rPr>
          <w:rFonts w:hint="eastAsia" w:ascii="宋体" w:hAnsi="宋体"/>
          <w:sz w:val="24"/>
        </w:rPr>
        <w:t>（1）服务商应对所运维设备功能及维护、维修配件等充分了解（提供驻场服务方案）</w:t>
      </w:r>
      <w:r>
        <w:rPr>
          <w:rFonts w:hint="eastAsia" w:ascii="宋体" w:hAnsi="宋体"/>
          <w:sz w:val="24"/>
          <w:lang w:eastAsia="zh-CN"/>
        </w:rPr>
        <w:t>。</w:t>
      </w:r>
    </w:p>
    <w:p w14:paraId="6EB161A6">
      <w:pPr>
        <w:pageBreakBefore w:val="0"/>
        <w:widowControl w:val="0"/>
        <w:kinsoku/>
        <w:wordWrap/>
        <w:overflowPunct/>
        <w:topLinePunct w:val="0"/>
        <w:bidi w:val="0"/>
        <w:adjustRightInd w:val="0"/>
        <w:snapToGrid w:val="0"/>
        <w:spacing w:line="360" w:lineRule="auto"/>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bCs/>
          <w:color w:val="000000" w:themeColor="text1"/>
          <w:sz w:val="24"/>
          <w14:textFill>
            <w14:solidFill>
              <w14:schemeClr w14:val="tx1"/>
            </w14:solidFill>
          </w14:textFill>
        </w:rPr>
        <w:t>设备保养</w:t>
      </w:r>
      <w:r>
        <w:rPr>
          <w:rFonts w:hint="eastAsia" w:ascii="宋体" w:hAnsi="宋体"/>
          <w:color w:val="000000" w:themeColor="text1"/>
          <w:sz w:val="24"/>
          <w14:textFill>
            <w14:solidFill>
              <w14:schemeClr w14:val="tx1"/>
            </w14:solidFill>
          </w14:textFill>
        </w:rPr>
        <w:t>：每月对运维设备进行故障检测、除尘保养、运行状态检查，确保设备开机率，保证业务正常运行。设备保养应出具详细全面的相关书面文档，及时提供采购人有关系统运行的状态报告和运行建议。</w:t>
      </w:r>
    </w:p>
    <w:p w14:paraId="25FC0E60">
      <w:pPr>
        <w:pageBreakBefore w:val="0"/>
        <w:widowControl w:val="0"/>
        <w:kinsoku/>
        <w:wordWrap/>
        <w:overflowPunct/>
        <w:topLinePunct w:val="0"/>
        <w:bidi w:val="0"/>
        <w:spacing w:line="360" w:lineRule="auto"/>
        <w:ind w:firstLine="480" w:firstLineChars="200"/>
        <w:textAlignment w:val="auto"/>
        <w:rPr>
          <w:rFonts w:ascii="宋体" w:hAnsi="宋体"/>
          <w:b/>
          <w:bCs/>
          <w:sz w:val="24"/>
        </w:rPr>
      </w:pPr>
      <w:r>
        <w:rPr>
          <w:rFonts w:hint="eastAsia" w:ascii="宋体" w:hAnsi="宋体"/>
          <w:sz w:val="24"/>
        </w:rPr>
        <w:t>（3）服务模式：服务商应提供主动与被动服务。每天7:30应逐一对运维设备进行巡检，确保正常就诊时间相关设备工作正常。巡检过程</w:t>
      </w:r>
      <w:r>
        <w:rPr>
          <w:rFonts w:hint="eastAsia" w:ascii="宋体" w:hAnsi="宋体"/>
          <w:sz w:val="24"/>
          <w:lang w:val="en-US" w:eastAsia="zh-CN"/>
        </w:rPr>
        <w:t>中</w:t>
      </w:r>
      <w:r>
        <w:rPr>
          <w:rFonts w:hint="eastAsia" w:ascii="宋体" w:hAnsi="宋体"/>
          <w:sz w:val="24"/>
        </w:rPr>
        <w:t>发现设备故障应及时处置，系统使用异常应及时与信息化处联系处置。服务商应还能供24小时电话或微信报修服务，接到报修信息后，10分钟内响应并到达故障现场，一般故障半小时内解决问题并恢复正常使用，特殊故障8小时内解决问题并恢复正常使用，如不能在8小时内排除故障解决问题，服务商提供同等配置、型号或以上的备用机供医院免费使用。</w:t>
      </w:r>
      <w:r>
        <w:rPr>
          <w:rFonts w:hint="eastAsia" w:ascii="宋体" w:hAnsi="宋体"/>
          <w:b/>
          <w:bCs/>
          <w:sz w:val="24"/>
        </w:rPr>
        <w:t>（提供服务承诺函，加盖投标人公章）</w:t>
      </w:r>
    </w:p>
    <w:p w14:paraId="51C03019">
      <w:pPr>
        <w:pageBreakBefore w:val="0"/>
        <w:widowControl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rPr>
        <w:t>（4）故障维修：当机器发生故障或机件损坏时，及时提供现场更换服务，维修提供配件应符合原有设备相关技术参数，不得使用代替产品，每次维修后工程师向院方提供书面维修保报告一份，如配件涉及唯一供应商，服务商应自行与供应商联系，由此而产生的所有费用由服务商承担。</w:t>
      </w:r>
      <w:r>
        <w:rPr>
          <w:rFonts w:hint="eastAsia" w:ascii="宋体" w:hAnsi="宋体"/>
          <w:b/>
          <w:bCs/>
          <w:sz w:val="24"/>
        </w:rPr>
        <w:t>（提供服务承诺函，加盖投标人公章）</w:t>
      </w:r>
    </w:p>
    <w:p w14:paraId="550203E6">
      <w:pPr>
        <w:pageBreakBefore w:val="0"/>
        <w:widowControl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rPr>
        <w:t>（5）服务商必须指定固定联系人负责此项目运维管理。日常驻场运维人员不得少于2人（东、西两区均应安排服务人员），服务人员应具有网络与信息安全管理员高级（三级）及以上证书（提供服务承诺函和信息安全管理员高级（三级）及以上证书加盖投标人公章；提供投标人为运维人员缴纳的2026年2月至4月的社保证明材料）</w:t>
      </w:r>
    </w:p>
    <w:p w14:paraId="495C8012">
      <w:pPr>
        <w:pageBreakBefore w:val="0"/>
        <w:widowControl w:val="0"/>
        <w:kinsoku/>
        <w:wordWrap/>
        <w:overflowPunct/>
        <w:topLinePunct w:val="0"/>
        <w:bidi w:val="0"/>
        <w:spacing w:line="360" w:lineRule="auto"/>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（6）备件储备：服务商应依据设备状况储备相应维修零配件，并制订应急处置方案。</w:t>
      </w:r>
    </w:p>
    <w:p w14:paraId="7CAA137E">
      <w:pPr>
        <w:pageBreakBefore w:val="0"/>
        <w:widowControl w:val="0"/>
        <w:kinsoku/>
        <w:wordWrap/>
        <w:overflowPunct/>
        <w:topLinePunct w:val="0"/>
        <w:bidi w:val="0"/>
        <w:spacing w:line="360" w:lineRule="auto"/>
        <w:ind w:firstLine="480" w:firstLineChars="200"/>
        <w:textAlignment w:val="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（7）服务期间如出现设备已失去维修价值，或达到报废标准时，服务商需提前1个月向信息化处提交评估报告，由院方同意后再行处置。</w:t>
      </w:r>
    </w:p>
    <w:p w14:paraId="23BACAA0">
      <w:pPr>
        <w:pageBreakBefore w:val="0"/>
        <w:widowControl w:val="0"/>
        <w:kinsoku/>
        <w:wordWrap/>
        <w:overflowPunct/>
        <w:topLinePunct w:val="0"/>
        <w:bidi w:val="0"/>
        <w:spacing w:line="360" w:lineRule="auto"/>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（8）项目总费用中包括运维期内所有费用（含服务费及设备更换费用），除院方认可的人为因素导致设备损坏的外，设备维护费用由服务商</w:t>
      </w:r>
      <w:r>
        <w:rPr>
          <w:rFonts w:ascii="宋体" w:hAnsi="宋体"/>
          <w:color w:val="000000" w:themeColor="text1"/>
          <w:sz w:val="24"/>
          <w14:textFill>
            <w14:solidFill>
              <w14:schemeClr w14:val="tx1"/>
            </w14:solidFill>
          </w14:textFill>
        </w:rPr>
        <w:t>承担</w:t>
      </w:r>
      <w:r>
        <w:rPr>
          <w:rFonts w:hint="eastAsia" w:ascii="宋体" w:hAnsi="宋体"/>
          <w:color w:val="000000" w:themeColor="text1"/>
          <w:sz w:val="24"/>
          <w14:textFill>
            <w14:solidFill>
              <w14:schemeClr w14:val="tx1"/>
            </w14:solidFill>
          </w14:textFill>
        </w:rPr>
        <w:t>，院方不再提供其它费用。</w:t>
      </w:r>
      <w:r>
        <w:rPr>
          <w:rFonts w:hint="eastAsia" w:ascii="宋体" w:hAnsi="宋体"/>
          <w:b/>
          <w:bCs/>
          <w:color w:val="000000" w:themeColor="text1"/>
          <w:sz w:val="24"/>
          <w14:textFill>
            <w14:solidFill>
              <w14:schemeClr w14:val="tx1"/>
            </w14:solidFill>
          </w14:textFill>
        </w:rPr>
        <w:t>（</w:t>
      </w:r>
      <w:r>
        <w:rPr>
          <w:rFonts w:hint="eastAsia" w:ascii="宋体" w:hAnsi="宋体"/>
          <w:b/>
          <w:bCs/>
          <w:sz w:val="24"/>
        </w:rPr>
        <w:t>提供服务承诺函，加盖投标人公章）</w:t>
      </w:r>
    </w:p>
    <w:p w14:paraId="4FFC2DB9">
      <w:pPr>
        <w:pageBreakBefore w:val="0"/>
        <w:widowControl w:val="0"/>
        <w:kinsoku/>
        <w:wordWrap/>
        <w:overflowPunct/>
        <w:topLinePunct w:val="0"/>
        <w:bidi w:val="0"/>
        <w:spacing w:line="360" w:lineRule="auto"/>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服务文档：供应商应建立完整的文档记录，按时向采购人提供装订成册的纸质版与电子版文档，具体要求为：每个月10日前向采购人提供上月的巡检报告，详细记录巡检日期、巡检人、巡检内容、问题、采取措施及建议、备品备件的使用及储备情况等内容，双方签字确认；故障抢修后的1个工作日内向采购人提交“故障检修记录”，每个自然月的10日前向采购人提供上月的抢修统计记录，其中至少记录接报修时间、报修人、到达现场时间、修复时间、故障现象、抢修过程等；</w:t>
      </w:r>
    </w:p>
    <w:p w14:paraId="1872E4A2">
      <w:pPr>
        <w:pageBreakBefore w:val="0"/>
        <w:widowControl w:val="0"/>
        <w:kinsoku/>
        <w:wordWrap/>
        <w:overflowPunct/>
        <w:topLinePunct w:val="0"/>
        <w:bidi w:val="0"/>
        <w:spacing w:line="360" w:lineRule="auto"/>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违约责任：如果服务商未能履行服务承诺，造成采购人实际经济损失，或者由于供应商技术人员责任造成买方设备损坏或其它责任事故，供应商必须承担相应赔偿。事故所造成损失的具体金额评估，由经双方认可的第三方权威机构执行；并且为评估所产生的其它费用，同样由事故责任方承担。</w:t>
      </w:r>
    </w:p>
    <w:p w14:paraId="0AB9C6D7">
      <w:pPr>
        <w:pageBreakBefore w:val="0"/>
        <w:widowControl w:val="0"/>
        <w:kinsoku/>
        <w:wordWrap/>
        <w:overflowPunct/>
        <w:topLinePunct w:val="0"/>
        <w:bidi w:val="0"/>
        <w:snapToGrid w:val="0"/>
        <w:spacing w:line="360" w:lineRule="auto"/>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（11）对于涉及分诊叫号系统硬件模块的维修和设备的更换，所使用硬件设备的技术参数与质量不得低于原厂原配品质，满足医院现有系统的运行环境。在物理模块融合期间，必须保证原系统的正常运行。</w:t>
      </w:r>
    </w:p>
    <w:p w14:paraId="140DCB20">
      <w:pPr>
        <w:pageBreakBefore w:val="0"/>
        <w:widowControl w:val="0"/>
        <w:kinsoku/>
        <w:wordWrap/>
        <w:overflowPunct/>
        <w:topLinePunct w:val="0"/>
        <w:bidi w:val="0"/>
        <w:snapToGrid w:val="0"/>
        <w:spacing w:line="360" w:lineRule="auto"/>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对于涉及多功能自助终端管理平台硬件模块的维修和设备的更换，所使用硬件设备的技术参数与质量不得低于原厂原配品质，满足医院现有系统的运行环境。在物理模块融合期间，必须保证原系统的正常运行。</w:t>
      </w:r>
    </w:p>
    <w:p w14:paraId="703633C2">
      <w:pPr>
        <w:pageBreakBefore w:val="0"/>
        <w:widowControl w:val="0"/>
        <w:kinsoku/>
        <w:wordWrap/>
        <w:overflowPunct/>
        <w:topLinePunct w:val="0"/>
        <w:bidi w:val="0"/>
        <w:spacing w:line="360" w:lineRule="auto"/>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（13）若涉及设备整体更换或控制模块更换，由中标单位负责系统接入所有事宜，医院不再支付额外费用。</w:t>
      </w:r>
    </w:p>
    <w:p w14:paraId="6A6C8EF6">
      <w:pPr>
        <w:pStyle w:val="2"/>
        <w:pageBreakBefore w:val="0"/>
        <w:widowControl w:val="0"/>
        <w:kinsoku/>
        <w:wordWrap/>
        <w:overflowPunct/>
        <w:topLinePunct w:val="0"/>
        <w:bidi w:val="0"/>
        <w:spacing w:line="360" w:lineRule="auto"/>
        <w:ind w:firstLine="480" w:firstLineChars="200"/>
        <w:textAlignment w:val="auto"/>
        <w:rPr>
          <w:rFonts w:ascii="宋体" w:hAnsi="宋体" w:eastAsia="宋体"/>
          <w:color w:val="000000" w:themeColor="text1"/>
          <w:kern w:val="2"/>
          <w14:textFill>
            <w14:solidFill>
              <w14:schemeClr w14:val="tx1"/>
            </w14:solidFill>
          </w14:textFill>
        </w:rPr>
      </w:pPr>
      <w:r>
        <w:rPr>
          <w:rFonts w:hint="eastAsia" w:ascii="宋体" w:hAnsi="宋体" w:eastAsia="宋体"/>
          <w:color w:val="000000" w:themeColor="text1"/>
          <w:kern w:val="2"/>
          <w14:textFill>
            <w14:solidFill>
              <w14:schemeClr w14:val="tx1"/>
            </w14:solidFill>
          </w14:textFill>
        </w:rPr>
        <w:t>（14）服务商对于智慧医院一期硬件运维过程中应当做好信息不良事件的梳理和记录，同一故障在同一个月内连续发生三次，服务商应当更换整个模块，同时跟信息化处书面报备。</w:t>
      </w:r>
    </w:p>
    <w:p w14:paraId="3D255F01">
      <w:pPr>
        <w:pStyle w:val="5"/>
        <w:pageBreakBefore w:val="0"/>
        <w:widowControl w:val="0"/>
        <w:kinsoku/>
        <w:wordWrap/>
        <w:overflowPunct/>
        <w:topLinePunct w:val="0"/>
        <w:bidi w:val="0"/>
        <w:spacing w:before="0" w:after="0" w:line="360" w:lineRule="auto"/>
        <w:textAlignment w:val="auto"/>
        <w:rPr>
          <w:rFonts w:hint="eastAsia" w:ascii="宋体" w:hAnsi="宋体" w:eastAsia="宋体" w:cs="Times New Roman"/>
          <w:b/>
          <w:bCs w:val="0"/>
          <w:color w:val="000000" w:themeColor="text1"/>
          <w:kern w:val="2"/>
          <w:sz w:val="24"/>
          <w:szCs w:val="24"/>
          <w:lang w:val="en-US" w:eastAsia="zh-CN" w:bidi="ar-SA"/>
          <w14:textFill>
            <w14:solidFill>
              <w14:schemeClr w14:val="tx1"/>
            </w14:solidFill>
          </w14:textFill>
        </w:rPr>
      </w:pPr>
      <w:r>
        <w:rPr>
          <w:rFonts w:hint="eastAsia" w:ascii="宋体" w:hAnsi="宋体" w:cs="Times New Roman"/>
          <w:b/>
          <w:bCs w:val="0"/>
          <w:color w:val="000000" w:themeColor="text1"/>
          <w:kern w:val="2"/>
          <w:sz w:val="24"/>
          <w:szCs w:val="24"/>
          <w:lang w:val="en-US" w:eastAsia="zh-CN" w:bidi="ar-SA"/>
          <w14:textFill>
            <w14:solidFill>
              <w14:schemeClr w14:val="tx1"/>
            </w14:solidFill>
          </w14:textFill>
        </w:rPr>
        <w:t>（五）</w:t>
      </w:r>
      <w:r>
        <w:rPr>
          <w:rFonts w:hint="eastAsia" w:ascii="宋体" w:hAnsi="宋体" w:eastAsia="宋体" w:cs="Times New Roman"/>
          <w:b/>
          <w:bCs w:val="0"/>
          <w:color w:val="000000" w:themeColor="text1"/>
          <w:kern w:val="2"/>
          <w:sz w:val="24"/>
          <w:szCs w:val="24"/>
          <w:lang w:val="en-US" w:eastAsia="zh-CN" w:bidi="ar-SA"/>
          <w14:textFill>
            <w14:solidFill>
              <w14:schemeClr w14:val="tx1"/>
            </w14:solidFill>
          </w14:textFill>
        </w:rPr>
        <w:t>服务考核</w:t>
      </w:r>
    </w:p>
    <w:p w14:paraId="5DBA79FC">
      <w:pPr>
        <w:pStyle w:val="2"/>
        <w:pageBreakBefore w:val="0"/>
        <w:widowControl w:val="0"/>
        <w:numPr>
          <w:ilvl w:val="0"/>
          <w:numId w:val="2"/>
        </w:numPr>
        <w:kinsoku/>
        <w:wordWrap/>
        <w:overflowPunct/>
        <w:topLinePunct w:val="0"/>
        <w:bidi w:val="0"/>
        <w:spacing w:line="360" w:lineRule="auto"/>
        <w:ind w:firstLine="480" w:firstLineChars="200"/>
        <w:textAlignment w:val="auto"/>
        <w:rPr>
          <w:rFonts w:ascii="宋体" w:hAnsi="宋体" w:eastAsia="宋体"/>
          <w:color w:val="000000" w:themeColor="text1"/>
          <w:kern w:val="2"/>
          <w14:textFill>
            <w14:solidFill>
              <w14:schemeClr w14:val="tx1"/>
            </w14:solidFill>
          </w14:textFill>
        </w:rPr>
      </w:pPr>
      <w:r>
        <w:rPr>
          <w:rFonts w:hint="eastAsia" w:ascii="宋体" w:hAnsi="宋体" w:eastAsia="宋体"/>
          <w:color w:val="000000" w:themeColor="text1"/>
          <w:kern w:val="2"/>
          <w14:textFill>
            <w14:solidFill>
              <w14:schemeClr w14:val="tx1"/>
            </w14:solidFill>
          </w14:textFill>
        </w:rPr>
        <w:t>本服务项目费用支付前需进行考核，多功能自助终端服务每个月考核一次，其它服务项目每3个月考核一次。</w:t>
      </w:r>
    </w:p>
    <w:p w14:paraId="55E6A378">
      <w:pPr>
        <w:pStyle w:val="2"/>
        <w:pageBreakBefore w:val="0"/>
        <w:widowControl w:val="0"/>
        <w:numPr>
          <w:ilvl w:val="0"/>
          <w:numId w:val="2"/>
        </w:numPr>
        <w:kinsoku/>
        <w:wordWrap/>
        <w:overflowPunct/>
        <w:topLinePunct w:val="0"/>
        <w:bidi w:val="0"/>
        <w:spacing w:line="360" w:lineRule="auto"/>
        <w:ind w:firstLine="480" w:firstLineChars="200"/>
        <w:textAlignment w:val="auto"/>
        <w:rPr>
          <w:rFonts w:ascii="宋体" w:hAnsi="宋体" w:eastAsia="宋体"/>
          <w:color w:val="000000" w:themeColor="text1"/>
          <w:kern w:val="2"/>
          <w14:textFill>
            <w14:solidFill>
              <w14:schemeClr w14:val="tx1"/>
            </w14:solidFill>
          </w14:textFill>
        </w:rPr>
      </w:pPr>
      <w:r>
        <w:rPr>
          <w:rFonts w:hint="eastAsia" w:ascii="宋体" w:hAnsi="宋体" w:eastAsia="宋体"/>
          <w:color w:val="000000" w:themeColor="text1"/>
          <w:kern w:val="2"/>
          <w14:textFill>
            <w14:solidFill>
              <w14:schemeClr w14:val="tx1"/>
            </w14:solidFill>
          </w14:textFill>
        </w:rPr>
        <w:t>服务期内考核得分90分（含）以上，考核合格，全额支付中标人服务期服务费用；考核得分低于90分的，以90分为基准，每低1分扣除相应服务期内维保服务费的1%，</w:t>
      </w:r>
      <w:r>
        <w:rPr>
          <w:rFonts w:hint="eastAsia" w:ascii="宋体" w:hAnsi="宋体" w:eastAsia="宋体" w:cs="宋体"/>
          <w:color w:val="000000" w:themeColor="text1"/>
          <w14:textFill>
            <w14:solidFill>
              <w14:schemeClr w14:val="tx1"/>
            </w14:solidFill>
          </w14:textFill>
        </w:rPr>
        <w:t>扣款在支付的服务款中扣除。对于甲方提出的问题未限时整改的，加倍扣分。</w:t>
      </w:r>
    </w:p>
    <w:p w14:paraId="0C1A1427">
      <w:pPr>
        <w:pStyle w:val="2"/>
        <w:spacing w:line="360" w:lineRule="auto"/>
        <w:rPr>
          <w:rFonts w:ascii="宋体" w:hAnsi="宋体" w:eastAsia="宋体" w:cs="宋体"/>
          <w:color w:val="000000" w:themeColor="text1"/>
          <w14:textFill>
            <w14:solidFill>
              <w14:schemeClr w14:val="tx1"/>
            </w14:solidFill>
          </w14:textFill>
        </w:rPr>
      </w:pPr>
    </w:p>
    <w:p w14:paraId="38C92D71">
      <w:pPr>
        <w:pStyle w:val="2"/>
        <w:spacing w:line="360" w:lineRule="auto"/>
        <w:rPr>
          <w:rFonts w:ascii="宋体" w:hAnsi="宋体" w:eastAsia="宋体" w:cs="宋体"/>
          <w:color w:val="000000" w:themeColor="text1"/>
          <w14:textFill>
            <w14:solidFill>
              <w14:schemeClr w14:val="tx1"/>
            </w14:solidFill>
          </w14:textFill>
        </w:rPr>
      </w:pPr>
    </w:p>
    <w:p w14:paraId="623D229A">
      <w:pPr>
        <w:pStyle w:val="2"/>
        <w:spacing w:line="360" w:lineRule="auto"/>
        <w:rPr>
          <w:rFonts w:ascii="宋体" w:hAnsi="宋体" w:eastAsia="宋体" w:cs="宋体"/>
          <w:color w:val="000000" w:themeColor="text1"/>
          <w14:textFill>
            <w14:solidFill>
              <w14:schemeClr w14:val="tx1"/>
            </w14:solidFill>
          </w14:textFill>
        </w:rPr>
      </w:pPr>
    </w:p>
    <w:p w14:paraId="5398341B">
      <w:pPr>
        <w:pStyle w:val="2"/>
        <w:spacing w:line="360" w:lineRule="auto"/>
        <w:rPr>
          <w:rFonts w:ascii="宋体" w:hAnsi="宋体" w:eastAsia="宋体" w:cs="宋体"/>
          <w:color w:val="000000" w:themeColor="text1"/>
          <w14:textFill>
            <w14:solidFill>
              <w14:schemeClr w14:val="tx1"/>
            </w14:solidFill>
          </w14:textFill>
        </w:rPr>
      </w:pPr>
    </w:p>
    <w:p w14:paraId="5593B718">
      <w:pPr>
        <w:pStyle w:val="2"/>
        <w:spacing w:line="360" w:lineRule="auto"/>
        <w:rPr>
          <w:rFonts w:ascii="宋体" w:hAnsi="宋体" w:eastAsia="宋体" w:cs="宋体"/>
          <w:color w:val="000000" w:themeColor="text1"/>
          <w14:textFill>
            <w14:solidFill>
              <w14:schemeClr w14:val="tx1"/>
            </w14:solidFill>
          </w14:textFill>
        </w:rPr>
      </w:pPr>
    </w:p>
    <w:p w14:paraId="5F83E2AD">
      <w:pPr>
        <w:pStyle w:val="2"/>
        <w:spacing w:line="360" w:lineRule="auto"/>
        <w:jc w:val="center"/>
        <w:rPr>
          <w:rFonts w:ascii="宋体" w:hAnsi="宋体" w:eastAsia="宋体"/>
          <w:color w:val="000000" w:themeColor="text1"/>
          <w:kern w:val="2"/>
          <w14:textFill>
            <w14:solidFill>
              <w14:schemeClr w14:val="tx1"/>
            </w14:solidFill>
          </w14:textFill>
        </w:rPr>
      </w:pPr>
      <w:r>
        <w:rPr>
          <w:rFonts w:hint="eastAsia" w:ascii="宋体" w:hAnsi="宋体" w:eastAsia="宋体"/>
          <w:color w:val="000000" w:themeColor="text1"/>
          <w:kern w:val="2"/>
          <w14:textFill>
            <w14:solidFill>
              <w14:schemeClr w14:val="tx1"/>
            </w14:solidFill>
          </w14:textFill>
        </w:rPr>
        <w:t>表：服务考核表</w:t>
      </w:r>
    </w:p>
    <w:tbl>
      <w:tblPr>
        <w:tblStyle w:val="23"/>
        <w:tblW w:w="8320" w:type="dxa"/>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0"/>
        <w:gridCol w:w="1560"/>
        <w:gridCol w:w="3640"/>
        <w:gridCol w:w="1170"/>
        <w:gridCol w:w="1040"/>
      </w:tblGrid>
      <w:tr w14:paraId="13B80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910" w:type="dxa"/>
            <w:tcBorders>
              <w:top w:val="single" w:color="000000" w:sz="4" w:space="0"/>
              <w:left w:val="single" w:color="000000" w:sz="4" w:space="0"/>
              <w:bottom w:val="single" w:color="000000" w:sz="4" w:space="0"/>
              <w:right w:val="single" w:color="000000" w:sz="4" w:space="0"/>
            </w:tcBorders>
            <w:vAlign w:val="center"/>
          </w:tcPr>
          <w:p w14:paraId="619BDDC3">
            <w:pPr>
              <w:pStyle w:val="64"/>
              <w:spacing w:before="100" w:beforeAutospacing="1" w:after="100" w:afterAutospacing="1"/>
              <w:jc w:val="center"/>
              <w:rPr>
                <w:rStyle w:val="58"/>
                <w:b/>
                <w:color w:val="000000" w:themeColor="text1"/>
                <w:szCs w:val="21"/>
                <w14:textFill>
                  <w14:solidFill>
                    <w14:schemeClr w14:val="tx1"/>
                  </w14:solidFill>
                </w14:textFill>
              </w:rPr>
            </w:pPr>
            <w:r>
              <w:rPr>
                <w:rStyle w:val="58"/>
                <w:b/>
                <w:color w:val="000000" w:themeColor="text1"/>
                <w:szCs w:val="21"/>
                <w14:textFill>
                  <w14:solidFill>
                    <w14:schemeClr w14:val="tx1"/>
                  </w14:solidFill>
                </w14:textFill>
              </w:rPr>
              <w:t>序号</w:t>
            </w:r>
          </w:p>
        </w:tc>
        <w:tc>
          <w:tcPr>
            <w:tcW w:w="1560" w:type="dxa"/>
            <w:tcBorders>
              <w:top w:val="single" w:color="000000" w:sz="4" w:space="0"/>
              <w:left w:val="single" w:color="000000" w:sz="4" w:space="0"/>
              <w:bottom w:val="single" w:color="000000" w:sz="4" w:space="0"/>
              <w:right w:val="single" w:color="000000" w:sz="4" w:space="0"/>
            </w:tcBorders>
            <w:vAlign w:val="center"/>
          </w:tcPr>
          <w:p w14:paraId="339776A7">
            <w:pPr>
              <w:pStyle w:val="64"/>
              <w:spacing w:before="100" w:beforeAutospacing="1" w:after="100" w:afterAutospacing="1"/>
              <w:jc w:val="center"/>
              <w:rPr>
                <w:rStyle w:val="58"/>
                <w:b/>
                <w:color w:val="000000" w:themeColor="text1"/>
                <w:szCs w:val="21"/>
                <w14:textFill>
                  <w14:solidFill>
                    <w14:schemeClr w14:val="tx1"/>
                  </w14:solidFill>
                </w14:textFill>
              </w:rPr>
            </w:pPr>
            <w:r>
              <w:rPr>
                <w:rStyle w:val="58"/>
                <w:b/>
                <w:color w:val="000000" w:themeColor="text1"/>
                <w:szCs w:val="21"/>
                <w14:textFill>
                  <w14:solidFill>
                    <w14:schemeClr w14:val="tx1"/>
                  </w14:solidFill>
                </w14:textFill>
              </w:rPr>
              <w:t>服务项目</w:t>
            </w:r>
          </w:p>
        </w:tc>
        <w:tc>
          <w:tcPr>
            <w:tcW w:w="3640" w:type="dxa"/>
            <w:tcBorders>
              <w:top w:val="single" w:color="000000" w:sz="4" w:space="0"/>
              <w:left w:val="single" w:color="000000" w:sz="4" w:space="0"/>
              <w:bottom w:val="single" w:color="000000" w:sz="4" w:space="0"/>
              <w:right w:val="single" w:color="000000" w:sz="4" w:space="0"/>
            </w:tcBorders>
            <w:vAlign w:val="center"/>
          </w:tcPr>
          <w:p w14:paraId="54AFC553">
            <w:pPr>
              <w:pStyle w:val="64"/>
              <w:spacing w:before="100" w:beforeAutospacing="1" w:after="100" w:afterAutospacing="1"/>
              <w:jc w:val="center"/>
              <w:rPr>
                <w:rStyle w:val="58"/>
                <w:b/>
                <w:color w:val="000000" w:themeColor="text1"/>
                <w:szCs w:val="21"/>
                <w14:textFill>
                  <w14:solidFill>
                    <w14:schemeClr w14:val="tx1"/>
                  </w14:solidFill>
                </w14:textFill>
              </w:rPr>
            </w:pPr>
            <w:r>
              <w:rPr>
                <w:rStyle w:val="58"/>
                <w:b/>
                <w:color w:val="000000" w:themeColor="text1"/>
                <w:szCs w:val="21"/>
                <w14:textFill>
                  <w14:solidFill>
                    <w14:schemeClr w14:val="tx1"/>
                  </w14:solidFill>
                </w14:textFill>
              </w:rPr>
              <w:t>具体内容</w:t>
            </w:r>
          </w:p>
        </w:tc>
        <w:tc>
          <w:tcPr>
            <w:tcW w:w="1170" w:type="dxa"/>
            <w:tcBorders>
              <w:top w:val="single" w:color="000000" w:sz="4" w:space="0"/>
              <w:left w:val="single" w:color="000000" w:sz="4" w:space="0"/>
              <w:bottom w:val="single" w:color="000000" w:sz="4" w:space="0"/>
              <w:right w:val="single" w:color="000000" w:sz="4" w:space="0"/>
            </w:tcBorders>
            <w:vAlign w:val="center"/>
          </w:tcPr>
          <w:p w14:paraId="7631E720">
            <w:pPr>
              <w:pStyle w:val="64"/>
              <w:spacing w:before="100" w:beforeAutospacing="1" w:after="100" w:afterAutospacing="1"/>
              <w:jc w:val="center"/>
              <w:rPr>
                <w:rStyle w:val="58"/>
                <w:b/>
                <w:color w:val="000000" w:themeColor="text1"/>
                <w:szCs w:val="21"/>
                <w14:textFill>
                  <w14:solidFill>
                    <w14:schemeClr w14:val="tx1"/>
                  </w14:solidFill>
                </w14:textFill>
              </w:rPr>
            </w:pPr>
            <w:r>
              <w:rPr>
                <w:rStyle w:val="58"/>
                <w:b/>
                <w:color w:val="000000" w:themeColor="text1"/>
                <w:szCs w:val="21"/>
                <w14:textFill>
                  <w14:solidFill>
                    <w14:schemeClr w14:val="tx1"/>
                  </w14:solidFill>
                </w14:textFill>
              </w:rPr>
              <w:t>权重</w:t>
            </w:r>
          </w:p>
        </w:tc>
        <w:tc>
          <w:tcPr>
            <w:tcW w:w="1040" w:type="dxa"/>
            <w:tcBorders>
              <w:top w:val="single" w:color="000000" w:sz="4" w:space="0"/>
              <w:left w:val="single" w:color="000000" w:sz="4" w:space="0"/>
              <w:bottom w:val="single" w:color="000000" w:sz="4" w:space="0"/>
              <w:right w:val="single" w:color="000000" w:sz="4" w:space="0"/>
            </w:tcBorders>
            <w:vAlign w:val="center"/>
          </w:tcPr>
          <w:p w14:paraId="737CBEFE">
            <w:pPr>
              <w:pStyle w:val="64"/>
              <w:spacing w:before="100" w:beforeAutospacing="1" w:after="100" w:afterAutospacing="1"/>
              <w:jc w:val="center"/>
              <w:rPr>
                <w:rStyle w:val="58"/>
                <w:b/>
                <w:color w:val="000000" w:themeColor="text1"/>
                <w:szCs w:val="21"/>
                <w14:textFill>
                  <w14:solidFill>
                    <w14:schemeClr w14:val="tx1"/>
                  </w14:solidFill>
                </w14:textFill>
              </w:rPr>
            </w:pPr>
            <w:r>
              <w:rPr>
                <w:rStyle w:val="58"/>
                <w:b/>
                <w:color w:val="000000" w:themeColor="text1"/>
                <w:szCs w:val="21"/>
                <w14:textFill>
                  <w14:solidFill>
                    <w14:schemeClr w14:val="tx1"/>
                  </w14:solidFill>
                </w14:textFill>
              </w:rPr>
              <w:t>得分</w:t>
            </w:r>
          </w:p>
        </w:tc>
      </w:tr>
      <w:tr w14:paraId="6BA97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910" w:type="dxa"/>
            <w:vMerge w:val="restart"/>
            <w:tcBorders>
              <w:top w:val="single" w:color="000000" w:sz="4" w:space="0"/>
              <w:left w:val="single" w:color="000000" w:sz="4" w:space="0"/>
              <w:bottom w:val="single" w:color="000000" w:sz="4" w:space="0"/>
              <w:right w:val="single" w:color="000000" w:sz="4" w:space="0"/>
            </w:tcBorders>
            <w:vAlign w:val="center"/>
          </w:tcPr>
          <w:p w14:paraId="15E1B37D">
            <w:pPr>
              <w:pStyle w:val="64"/>
              <w:spacing w:before="100" w:beforeAutospacing="1" w:after="100" w:afterAutospacing="1"/>
              <w:jc w:val="center"/>
              <w:rPr>
                <w:rStyle w:val="58"/>
                <w:color w:val="000000" w:themeColor="text1"/>
                <w:szCs w:val="21"/>
                <w14:textFill>
                  <w14:solidFill>
                    <w14:schemeClr w14:val="tx1"/>
                  </w14:solidFill>
                </w14:textFill>
              </w:rPr>
            </w:pPr>
            <w:r>
              <w:rPr>
                <w:rStyle w:val="58"/>
                <w:color w:val="000000" w:themeColor="text1"/>
                <w:szCs w:val="21"/>
                <w14:textFill>
                  <w14:solidFill>
                    <w14:schemeClr w14:val="tx1"/>
                  </w14:solidFill>
                </w14:textFill>
              </w:rPr>
              <w:t>1</w:t>
            </w:r>
          </w:p>
        </w:tc>
        <w:tc>
          <w:tcPr>
            <w:tcW w:w="1560" w:type="dxa"/>
            <w:vMerge w:val="restart"/>
            <w:tcBorders>
              <w:top w:val="single" w:color="000000" w:sz="4" w:space="0"/>
              <w:left w:val="single" w:color="000000" w:sz="4" w:space="0"/>
              <w:bottom w:val="single" w:color="000000" w:sz="4" w:space="0"/>
              <w:right w:val="single" w:color="000000" w:sz="4" w:space="0"/>
            </w:tcBorders>
            <w:vAlign w:val="center"/>
          </w:tcPr>
          <w:p w14:paraId="0EAF73B7">
            <w:pPr>
              <w:pStyle w:val="64"/>
              <w:spacing w:before="100" w:beforeAutospacing="1" w:after="100" w:afterAutospacing="1"/>
              <w:jc w:val="center"/>
              <w:rPr>
                <w:rStyle w:val="58"/>
                <w:color w:val="000000" w:themeColor="text1"/>
                <w:szCs w:val="21"/>
                <w14:textFill>
                  <w14:solidFill>
                    <w14:schemeClr w14:val="tx1"/>
                  </w14:solidFill>
                </w14:textFill>
              </w:rPr>
            </w:pPr>
            <w:r>
              <w:rPr>
                <w:rStyle w:val="58"/>
                <w:rFonts w:hint="eastAsia"/>
                <w:color w:val="000000" w:themeColor="text1"/>
                <w:szCs w:val="21"/>
                <w14:textFill>
                  <w14:solidFill>
                    <w14:schemeClr w14:val="tx1"/>
                  </w14:solidFill>
                </w14:textFill>
              </w:rPr>
              <w:t>定期</w:t>
            </w:r>
            <w:r>
              <w:rPr>
                <w:rStyle w:val="58"/>
                <w:color w:val="000000" w:themeColor="text1"/>
                <w:szCs w:val="21"/>
                <w14:textFill>
                  <w14:solidFill>
                    <w14:schemeClr w14:val="tx1"/>
                  </w14:solidFill>
                </w14:textFill>
              </w:rPr>
              <w:t>巡检</w:t>
            </w:r>
          </w:p>
        </w:tc>
        <w:tc>
          <w:tcPr>
            <w:tcW w:w="3640" w:type="dxa"/>
            <w:tcBorders>
              <w:top w:val="single" w:color="000000" w:sz="4" w:space="0"/>
              <w:left w:val="single" w:color="000000" w:sz="4" w:space="0"/>
              <w:bottom w:val="single" w:color="000000" w:sz="4" w:space="0"/>
              <w:right w:val="single" w:color="000000" w:sz="4" w:space="0"/>
            </w:tcBorders>
            <w:vAlign w:val="center"/>
          </w:tcPr>
          <w:p w14:paraId="7BF6FAE2">
            <w:pPr>
              <w:pStyle w:val="64"/>
              <w:spacing w:before="100" w:beforeAutospacing="1" w:after="100" w:afterAutospacing="1"/>
              <w:jc w:val="center"/>
              <w:rPr>
                <w:rStyle w:val="58"/>
                <w:color w:val="000000" w:themeColor="text1"/>
                <w:szCs w:val="21"/>
                <w14:textFill>
                  <w14:solidFill>
                    <w14:schemeClr w14:val="tx1"/>
                  </w14:solidFill>
                </w14:textFill>
              </w:rPr>
            </w:pPr>
            <w:r>
              <w:rPr>
                <w:rStyle w:val="58"/>
                <w:color w:val="000000" w:themeColor="text1"/>
                <w:szCs w:val="21"/>
                <w14:textFill>
                  <w14:solidFill>
                    <w14:schemeClr w14:val="tx1"/>
                  </w14:solidFill>
                </w14:textFill>
              </w:rPr>
              <w:t>巡检计划执行情况（10分）</w:t>
            </w:r>
          </w:p>
        </w:tc>
        <w:tc>
          <w:tcPr>
            <w:tcW w:w="1170" w:type="dxa"/>
            <w:vMerge w:val="restart"/>
            <w:tcBorders>
              <w:top w:val="single" w:color="000000" w:sz="4" w:space="0"/>
              <w:left w:val="single" w:color="000000" w:sz="4" w:space="0"/>
              <w:bottom w:val="single" w:color="000000" w:sz="4" w:space="0"/>
              <w:right w:val="single" w:color="000000" w:sz="4" w:space="0"/>
            </w:tcBorders>
            <w:vAlign w:val="center"/>
          </w:tcPr>
          <w:p w14:paraId="4D03B446">
            <w:pPr>
              <w:pStyle w:val="64"/>
              <w:spacing w:before="100" w:beforeAutospacing="1" w:after="100" w:afterAutospacing="1"/>
              <w:jc w:val="center"/>
              <w:rPr>
                <w:rStyle w:val="58"/>
                <w:color w:val="000000" w:themeColor="text1"/>
                <w:szCs w:val="21"/>
                <w14:textFill>
                  <w14:solidFill>
                    <w14:schemeClr w14:val="tx1"/>
                  </w14:solidFill>
                </w14:textFill>
              </w:rPr>
            </w:pPr>
            <w:r>
              <w:rPr>
                <w:rStyle w:val="58"/>
                <w:color w:val="000000" w:themeColor="text1"/>
                <w:szCs w:val="21"/>
                <w14:textFill>
                  <w14:solidFill>
                    <w14:schemeClr w14:val="tx1"/>
                  </w14:solidFill>
                </w14:textFill>
              </w:rPr>
              <w:t>20分</w:t>
            </w:r>
          </w:p>
        </w:tc>
        <w:tc>
          <w:tcPr>
            <w:tcW w:w="1040" w:type="dxa"/>
            <w:tcBorders>
              <w:top w:val="single" w:color="000000" w:sz="4" w:space="0"/>
              <w:left w:val="single" w:color="000000" w:sz="4" w:space="0"/>
              <w:bottom w:val="single" w:color="000000" w:sz="4" w:space="0"/>
              <w:right w:val="single" w:color="000000" w:sz="4" w:space="0"/>
            </w:tcBorders>
            <w:vAlign w:val="center"/>
          </w:tcPr>
          <w:p w14:paraId="2227CB28">
            <w:pPr>
              <w:pStyle w:val="64"/>
              <w:spacing w:before="100" w:beforeAutospacing="1" w:after="100" w:afterAutospacing="1"/>
              <w:jc w:val="center"/>
              <w:rPr>
                <w:rStyle w:val="58"/>
                <w:color w:val="000000" w:themeColor="text1"/>
                <w:szCs w:val="21"/>
                <w14:textFill>
                  <w14:solidFill>
                    <w14:schemeClr w14:val="tx1"/>
                  </w14:solidFill>
                </w14:textFill>
              </w:rPr>
            </w:pPr>
          </w:p>
        </w:tc>
      </w:tr>
      <w:tr w14:paraId="491BC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910" w:type="dxa"/>
            <w:vMerge w:val="continue"/>
            <w:tcBorders>
              <w:top w:val="nil"/>
              <w:left w:val="single" w:color="000000" w:sz="4" w:space="0"/>
              <w:bottom w:val="single" w:color="000000" w:sz="4" w:space="0"/>
              <w:right w:val="single" w:color="000000" w:sz="4" w:space="0"/>
            </w:tcBorders>
            <w:vAlign w:val="center"/>
          </w:tcPr>
          <w:p w14:paraId="601337DE">
            <w:pPr>
              <w:widowControl/>
              <w:spacing w:before="100" w:beforeAutospacing="1" w:after="100" w:afterAutospacing="1"/>
              <w:jc w:val="center"/>
              <w:textAlignment w:val="baseline"/>
              <w:rPr>
                <w:rStyle w:val="58"/>
                <w:rFonts w:ascii="宋体" w:hAnsi="宋体"/>
                <w:color w:val="000000" w:themeColor="text1"/>
                <w:szCs w:val="21"/>
                <w14:textFill>
                  <w14:solidFill>
                    <w14:schemeClr w14:val="tx1"/>
                  </w14:solidFill>
                </w14:textFill>
              </w:rPr>
            </w:pPr>
          </w:p>
        </w:tc>
        <w:tc>
          <w:tcPr>
            <w:tcW w:w="1560" w:type="dxa"/>
            <w:vMerge w:val="continue"/>
            <w:tcBorders>
              <w:top w:val="nil"/>
              <w:left w:val="single" w:color="000000" w:sz="4" w:space="0"/>
              <w:bottom w:val="single" w:color="000000" w:sz="4" w:space="0"/>
              <w:right w:val="single" w:color="000000" w:sz="4" w:space="0"/>
            </w:tcBorders>
            <w:vAlign w:val="center"/>
          </w:tcPr>
          <w:p w14:paraId="5C533702">
            <w:pPr>
              <w:widowControl/>
              <w:spacing w:before="100" w:beforeAutospacing="1" w:after="100" w:afterAutospacing="1"/>
              <w:jc w:val="center"/>
              <w:textAlignment w:val="baseline"/>
              <w:rPr>
                <w:rStyle w:val="58"/>
                <w:rFonts w:ascii="宋体" w:hAnsi="宋体"/>
                <w:color w:val="000000" w:themeColor="text1"/>
                <w:szCs w:val="21"/>
                <w14:textFill>
                  <w14:solidFill>
                    <w14:schemeClr w14:val="tx1"/>
                  </w14:solidFill>
                </w14:textFill>
              </w:rPr>
            </w:pPr>
          </w:p>
        </w:tc>
        <w:tc>
          <w:tcPr>
            <w:tcW w:w="3640" w:type="dxa"/>
            <w:tcBorders>
              <w:top w:val="single" w:color="000000" w:sz="4" w:space="0"/>
              <w:left w:val="single" w:color="000000" w:sz="4" w:space="0"/>
              <w:bottom w:val="single" w:color="000000" w:sz="4" w:space="0"/>
              <w:right w:val="single" w:color="000000" w:sz="4" w:space="0"/>
            </w:tcBorders>
            <w:vAlign w:val="center"/>
          </w:tcPr>
          <w:p w14:paraId="7F722F20">
            <w:pPr>
              <w:pStyle w:val="64"/>
              <w:spacing w:before="100" w:beforeAutospacing="1" w:after="100" w:afterAutospacing="1"/>
              <w:jc w:val="center"/>
              <w:rPr>
                <w:rStyle w:val="58"/>
                <w:color w:val="000000" w:themeColor="text1"/>
                <w:szCs w:val="21"/>
                <w14:textFill>
                  <w14:solidFill>
                    <w14:schemeClr w14:val="tx1"/>
                  </w14:solidFill>
                </w14:textFill>
              </w:rPr>
            </w:pPr>
            <w:r>
              <w:rPr>
                <w:rStyle w:val="58"/>
                <w:color w:val="000000" w:themeColor="text1"/>
                <w:szCs w:val="21"/>
                <w14:textFill>
                  <w14:solidFill>
                    <w14:schemeClr w14:val="tx1"/>
                  </w14:solidFill>
                </w14:textFill>
              </w:rPr>
              <w:t>巡检范围及内容完整性（10分）</w:t>
            </w:r>
          </w:p>
        </w:tc>
        <w:tc>
          <w:tcPr>
            <w:tcW w:w="1170" w:type="dxa"/>
            <w:vMerge w:val="continue"/>
            <w:tcBorders>
              <w:top w:val="nil"/>
              <w:left w:val="single" w:color="000000" w:sz="4" w:space="0"/>
              <w:bottom w:val="single" w:color="000000" w:sz="4" w:space="0"/>
              <w:right w:val="single" w:color="000000" w:sz="4" w:space="0"/>
            </w:tcBorders>
            <w:vAlign w:val="center"/>
          </w:tcPr>
          <w:p w14:paraId="5A86D1F0">
            <w:pPr>
              <w:widowControl/>
              <w:spacing w:before="100" w:beforeAutospacing="1" w:after="100" w:afterAutospacing="1"/>
              <w:jc w:val="center"/>
              <w:textAlignment w:val="baseline"/>
              <w:rPr>
                <w:rStyle w:val="58"/>
                <w:rFonts w:ascii="宋体" w:hAnsi="宋体"/>
                <w:color w:val="000000" w:themeColor="text1"/>
                <w:szCs w:val="21"/>
                <w14:textFill>
                  <w14:solidFill>
                    <w14:schemeClr w14:val="tx1"/>
                  </w14:solidFill>
                </w14:textFill>
              </w:rPr>
            </w:pPr>
          </w:p>
        </w:tc>
        <w:tc>
          <w:tcPr>
            <w:tcW w:w="1040" w:type="dxa"/>
            <w:tcBorders>
              <w:top w:val="single" w:color="000000" w:sz="4" w:space="0"/>
              <w:left w:val="single" w:color="000000" w:sz="4" w:space="0"/>
              <w:bottom w:val="single" w:color="000000" w:sz="4" w:space="0"/>
              <w:right w:val="single" w:color="000000" w:sz="4" w:space="0"/>
            </w:tcBorders>
            <w:vAlign w:val="center"/>
          </w:tcPr>
          <w:p w14:paraId="0130D303">
            <w:pPr>
              <w:pStyle w:val="64"/>
              <w:spacing w:before="100" w:beforeAutospacing="1" w:after="100" w:afterAutospacing="1"/>
              <w:jc w:val="center"/>
              <w:rPr>
                <w:rStyle w:val="58"/>
                <w:color w:val="000000" w:themeColor="text1"/>
                <w:szCs w:val="21"/>
                <w14:textFill>
                  <w14:solidFill>
                    <w14:schemeClr w14:val="tx1"/>
                  </w14:solidFill>
                </w14:textFill>
              </w:rPr>
            </w:pPr>
          </w:p>
        </w:tc>
      </w:tr>
      <w:tr w14:paraId="2F59C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910" w:type="dxa"/>
            <w:vMerge w:val="restart"/>
            <w:tcBorders>
              <w:top w:val="single" w:color="000000" w:sz="4" w:space="0"/>
              <w:left w:val="single" w:color="000000" w:sz="4" w:space="0"/>
              <w:bottom w:val="single" w:color="000000" w:sz="4" w:space="0"/>
              <w:right w:val="single" w:color="000000" w:sz="4" w:space="0"/>
            </w:tcBorders>
            <w:vAlign w:val="center"/>
          </w:tcPr>
          <w:p w14:paraId="48A1BCC2">
            <w:pPr>
              <w:pStyle w:val="64"/>
              <w:spacing w:before="100" w:beforeAutospacing="1" w:after="100" w:afterAutospacing="1"/>
              <w:jc w:val="center"/>
              <w:rPr>
                <w:rStyle w:val="58"/>
                <w:color w:val="000000" w:themeColor="text1"/>
                <w:szCs w:val="21"/>
                <w14:textFill>
                  <w14:solidFill>
                    <w14:schemeClr w14:val="tx1"/>
                  </w14:solidFill>
                </w14:textFill>
              </w:rPr>
            </w:pPr>
            <w:r>
              <w:rPr>
                <w:rStyle w:val="58"/>
                <w:color w:val="000000" w:themeColor="text1"/>
                <w:szCs w:val="21"/>
                <w14:textFill>
                  <w14:solidFill>
                    <w14:schemeClr w14:val="tx1"/>
                  </w14:solidFill>
                </w14:textFill>
              </w:rPr>
              <w:t>2</w:t>
            </w:r>
          </w:p>
        </w:tc>
        <w:tc>
          <w:tcPr>
            <w:tcW w:w="1560" w:type="dxa"/>
            <w:vMerge w:val="restart"/>
            <w:tcBorders>
              <w:top w:val="single" w:color="000000" w:sz="4" w:space="0"/>
              <w:left w:val="single" w:color="000000" w:sz="4" w:space="0"/>
              <w:bottom w:val="single" w:color="000000" w:sz="4" w:space="0"/>
              <w:right w:val="single" w:color="000000" w:sz="4" w:space="0"/>
            </w:tcBorders>
            <w:vAlign w:val="center"/>
          </w:tcPr>
          <w:p w14:paraId="7FD32DF9">
            <w:pPr>
              <w:pStyle w:val="64"/>
              <w:spacing w:before="100" w:beforeAutospacing="1" w:after="100" w:afterAutospacing="1"/>
              <w:jc w:val="center"/>
              <w:rPr>
                <w:rStyle w:val="58"/>
                <w:color w:val="000000" w:themeColor="text1"/>
                <w:szCs w:val="21"/>
                <w14:textFill>
                  <w14:solidFill>
                    <w14:schemeClr w14:val="tx1"/>
                  </w14:solidFill>
                </w14:textFill>
              </w:rPr>
            </w:pPr>
            <w:r>
              <w:rPr>
                <w:rStyle w:val="58"/>
                <w:color w:val="000000" w:themeColor="text1"/>
                <w:szCs w:val="21"/>
                <w14:textFill>
                  <w14:solidFill>
                    <w14:schemeClr w14:val="tx1"/>
                  </w14:solidFill>
                </w14:textFill>
              </w:rPr>
              <w:t>基础保障</w:t>
            </w:r>
          </w:p>
        </w:tc>
        <w:tc>
          <w:tcPr>
            <w:tcW w:w="3640" w:type="dxa"/>
            <w:tcBorders>
              <w:top w:val="single" w:color="000000" w:sz="4" w:space="0"/>
              <w:left w:val="single" w:color="000000" w:sz="4" w:space="0"/>
              <w:bottom w:val="single" w:color="000000" w:sz="4" w:space="0"/>
              <w:right w:val="single" w:color="000000" w:sz="4" w:space="0"/>
            </w:tcBorders>
            <w:vAlign w:val="center"/>
          </w:tcPr>
          <w:p w14:paraId="63979EF1">
            <w:pPr>
              <w:pStyle w:val="64"/>
              <w:spacing w:before="100" w:beforeAutospacing="1" w:after="100" w:afterAutospacing="1"/>
              <w:jc w:val="center"/>
              <w:rPr>
                <w:rStyle w:val="58"/>
                <w:color w:val="000000" w:themeColor="text1"/>
                <w:szCs w:val="21"/>
                <w14:textFill>
                  <w14:solidFill>
                    <w14:schemeClr w14:val="tx1"/>
                  </w14:solidFill>
                </w14:textFill>
              </w:rPr>
            </w:pPr>
            <w:r>
              <w:rPr>
                <w:rStyle w:val="58"/>
                <w:color w:val="000000" w:themeColor="text1"/>
                <w:szCs w:val="21"/>
                <w14:textFill>
                  <w14:solidFill>
                    <w14:schemeClr w14:val="tx1"/>
                  </w14:solidFill>
                </w14:textFill>
              </w:rPr>
              <w:t>主动性保障（15分）</w:t>
            </w:r>
          </w:p>
        </w:tc>
        <w:tc>
          <w:tcPr>
            <w:tcW w:w="1170" w:type="dxa"/>
            <w:vMerge w:val="restart"/>
            <w:tcBorders>
              <w:top w:val="single" w:color="000000" w:sz="4" w:space="0"/>
              <w:left w:val="single" w:color="000000" w:sz="4" w:space="0"/>
              <w:bottom w:val="single" w:color="000000" w:sz="4" w:space="0"/>
              <w:right w:val="single" w:color="000000" w:sz="4" w:space="0"/>
            </w:tcBorders>
            <w:vAlign w:val="center"/>
          </w:tcPr>
          <w:p w14:paraId="4AB97C8F">
            <w:pPr>
              <w:pStyle w:val="64"/>
              <w:spacing w:before="100" w:beforeAutospacing="1" w:after="100" w:afterAutospacing="1"/>
              <w:jc w:val="center"/>
              <w:rPr>
                <w:rStyle w:val="58"/>
                <w:color w:val="000000" w:themeColor="text1"/>
                <w:szCs w:val="21"/>
                <w14:textFill>
                  <w14:solidFill>
                    <w14:schemeClr w14:val="tx1"/>
                  </w14:solidFill>
                </w14:textFill>
              </w:rPr>
            </w:pPr>
            <w:r>
              <w:rPr>
                <w:rStyle w:val="58"/>
                <w:color w:val="000000" w:themeColor="text1"/>
                <w:szCs w:val="21"/>
                <w14:textFill>
                  <w14:solidFill>
                    <w14:schemeClr w14:val="tx1"/>
                  </w14:solidFill>
                </w14:textFill>
              </w:rPr>
              <w:t>45分</w:t>
            </w:r>
          </w:p>
        </w:tc>
        <w:tc>
          <w:tcPr>
            <w:tcW w:w="1040" w:type="dxa"/>
            <w:tcBorders>
              <w:top w:val="single" w:color="000000" w:sz="4" w:space="0"/>
              <w:left w:val="single" w:color="000000" w:sz="4" w:space="0"/>
              <w:bottom w:val="single" w:color="000000" w:sz="4" w:space="0"/>
              <w:right w:val="single" w:color="000000" w:sz="4" w:space="0"/>
            </w:tcBorders>
            <w:vAlign w:val="center"/>
          </w:tcPr>
          <w:p w14:paraId="48EC6133">
            <w:pPr>
              <w:pStyle w:val="64"/>
              <w:spacing w:before="100" w:beforeAutospacing="1" w:after="100" w:afterAutospacing="1"/>
              <w:jc w:val="center"/>
              <w:rPr>
                <w:rStyle w:val="58"/>
                <w:color w:val="000000" w:themeColor="text1"/>
                <w:szCs w:val="21"/>
                <w14:textFill>
                  <w14:solidFill>
                    <w14:schemeClr w14:val="tx1"/>
                  </w14:solidFill>
                </w14:textFill>
              </w:rPr>
            </w:pPr>
          </w:p>
        </w:tc>
      </w:tr>
      <w:tr w14:paraId="7E244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910" w:type="dxa"/>
            <w:vMerge w:val="continue"/>
            <w:tcBorders>
              <w:top w:val="nil"/>
              <w:left w:val="single" w:color="000000" w:sz="4" w:space="0"/>
              <w:bottom w:val="single" w:color="000000" w:sz="4" w:space="0"/>
              <w:right w:val="single" w:color="000000" w:sz="4" w:space="0"/>
            </w:tcBorders>
            <w:vAlign w:val="center"/>
          </w:tcPr>
          <w:p w14:paraId="223082E8">
            <w:pPr>
              <w:widowControl/>
              <w:spacing w:before="100" w:beforeAutospacing="1" w:after="100" w:afterAutospacing="1"/>
              <w:jc w:val="center"/>
              <w:textAlignment w:val="baseline"/>
              <w:rPr>
                <w:rStyle w:val="58"/>
                <w:rFonts w:ascii="宋体" w:hAnsi="宋体"/>
                <w:color w:val="000000" w:themeColor="text1"/>
                <w:szCs w:val="21"/>
                <w14:textFill>
                  <w14:solidFill>
                    <w14:schemeClr w14:val="tx1"/>
                  </w14:solidFill>
                </w14:textFill>
              </w:rPr>
            </w:pPr>
          </w:p>
        </w:tc>
        <w:tc>
          <w:tcPr>
            <w:tcW w:w="1560" w:type="dxa"/>
            <w:vMerge w:val="continue"/>
            <w:tcBorders>
              <w:top w:val="nil"/>
              <w:left w:val="single" w:color="000000" w:sz="4" w:space="0"/>
              <w:bottom w:val="single" w:color="000000" w:sz="4" w:space="0"/>
              <w:right w:val="single" w:color="000000" w:sz="4" w:space="0"/>
            </w:tcBorders>
            <w:vAlign w:val="center"/>
          </w:tcPr>
          <w:p w14:paraId="3A1AC2D7">
            <w:pPr>
              <w:widowControl/>
              <w:spacing w:before="100" w:beforeAutospacing="1" w:after="100" w:afterAutospacing="1"/>
              <w:jc w:val="center"/>
              <w:textAlignment w:val="baseline"/>
              <w:rPr>
                <w:rStyle w:val="58"/>
                <w:rFonts w:ascii="宋体" w:hAnsi="宋体"/>
                <w:color w:val="000000" w:themeColor="text1"/>
                <w:szCs w:val="21"/>
                <w14:textFill>
                  <w14:solidFill>
                    <w14:schemeClr w14:val="tx1"/>
                  </w14:solidFill>
                </w14:textFill>
              </w:rPr>
            </w:pPr>
          </w:p>
        </w:tc>
        <w:tc>
          <w:tcPr>
            <w:tcW w:w="3640" w:type="dxa"/>
            <w:tcBorders>
              <w:top w:val="single" w:color="000000" w:sz="4" w:space="0"/>
              <w:left w:val="single" w:color="000000" w:sz="4" w:space="0"/>
              <w:bottom w:val="single" w:color="000000" w:sz="4" w:space="0"/>
              <w:right w:val="single" w:color="000000" w:sz="4" w:space="0"/>
            </w:tcBorders>
            <w:vAlign w:val="center"/>
          </w:tcPr>
          <w:p w14:paraId="2FB193AA">
            <w:pPr>
              <w:pStyle w:val="64"/>
              <w:spacing w:before="100" w:beforeAutospacing="1" w:after="100" w:afterAutospacing="1"/>
              <w:jc w:val="center"/>
              <w:rPr>
                <w:rStyle w:val="58"/>
                <w:color w:val="000000" w:themeColor="text1"/>
                <w:szCs w:val="21"/>
                <w14:textFill>
                  <w14:solidFill>
                    <w14:schemeClr w14:val="tx1"/>
                  </w14:solidFill>
                </w14:textFill>
              </w:rPr>
            </w:pPr>
            <w:r>
              <w:rPr>
                <w:rStyle w:val="58"/>
                <w:color w:val="000000" w:themeColor="text1"/>
                <w:szCs w:val="21"/>
                <w14:textFill>
                  <w14:solidFill>
                    <w14:schemeClr w14:val="tx1"/>
                  </w14:solidFill>
                </w14:textFill>
              </w:rPr>
              <w:t>故障处理能力（15分）</w:t>
            </w:r>
          </w:p>
        </w:tc>
        <w:tc>
          <w:tcPr>
            <w:tcW w:w="1170" w:type="dxa"/>
            <w:vMerge w:val="continue"/>
            <w:tcBorders>
              <w:top w:val="nil"/>
              <w:left w:val="single" w:color="000000" w:sz="4" w:space="0"/>
              <w:bottom w:val="single" w:color="000000" w:sz="4" w:space="0"/>
              <w:right w:val="single" w:color="000000" w:sz="4" w:space="0"/>
            </w:tcBorders>
            <w:vAlign w:val="center"/>
          </w:tcPr>
          <w:p w14:paraId="4A7AA744">
            <w:pPr>
              <w:widowControl/>
              <w:spacing w:before="100" w:beforeAutospacing="1" w:after="100" w:afterAutospacing="1"/>
              <w:jc w:val="center"/>
              <w:textAlignment w:val="baseline"/>
              <w:rPr>
                <w:rStyle w:val="58"/>
                <w:rFonts w:ascii="宋体" w:hAnsi="宋体"/>
                <w:color w:val="000000" w:themeColor="text1"/>
                <w:szCs w:val="21"/>
                <w14:textFill>
                  <w14:solidFill>
                    <w14:schemeClr w14:val="tx1"/>
                  </w14:solidFill>
                </w14:textFill>
              </w:rPr>
            </w:pPr>
          </w:p>
        </w:tc>
        <w:tc>
          <w:tcPr>
            <w:tcW w:w="1040" w:type="dxa"/>
            <w:tcBorders>
              <w:top w:val="single" w:color="000000" w:sz="4" w:space="0"/>
              <w:left w:val="single" w:color="000000" w:sz="4" w:space="0"/>
              <w:bottom w:val="single" w:color="000000" w:sz="4" w:space="0"/>
              <w:right w:val="single" w:color="000000" w:sz="4" w:space="0"/>
            </w:tcBorders>
            <w:vAlign w:val="center"/>
          </w:tcPr>
          <w:p w14:paraId="5E6FB29E">
            <w:pPr>
              <w:pStyle w:val="64"/>
              <w:spacing w:before="100" w:beforeAutospacing="1" w:after="100" w:afterAutospacing="1"/>
              <w:jc w:val="center"/>
              <w:rPr>
                <w:rStyle w:val="58"/>
                <w:color w:val="000000" w:themeColor="text1"/>
                <w:szCs w:val="21"/>
                <w14:textFill>
                  <w14:solidFill>
                    <w14:schemeClr w14:val="tx1"/>
                  </w14:solidFill>
                </w14:textFill>
              </w:rPr>
            </w:pPr>
          </w:p>
        </w:tc>
      </w:tr>
      <w:tr w14:paraId="387E4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910" w:type="dxa"/>
            <w:vMerge w:val="continue"/>
            <w:tcBorders>
              <w:top w:val="nil"/>
              <w:left w:val="single" w:color="000000" w:sz="4" w:space="0"/>
              <w:bottom w:val="single" w:color="000000" w:sz="4" w:space="0"/>
              <w:right w:val="single" w:color="000000" w:sz="4" w:space="0"/>
            </w:tcBorders>
            <w:vAlign w:val="center"/>
          </w:tcPr>
          <w:p w14:paraId="518C9446">
            <w:pPr>
              <w:widowControl/>
              <w:spacing w:before="100" w:beforeAutospacing="1" w:after="100" w:afterAutospacing="1"/>
              <w:jc w:val="center"/>
              <w:textAlignment w:val="baseline"/>
              <w:rPr>
                <w:rStyle w:val="58"/>
                <w:rFonts w:ascii="宋体" w:hAnsi="宋体"/>
                <w:color w:val="000000" w:themeColor="text1"/>
                <w:szCs w:val="21"/>
                <w14:textFill>
                  <w14:solidFill>
                    <w14:schemeClr w14:val="tx1"/>
                  </w14:solidFill>
                </w14:textFill>
              </w:rPr>
            </w:pPr>
          </w:p>
        </w:tc>
        <w:tc>
          <w:tcPr>
            <w:tcW w:w="1560" w:type="dxa"/>
            <w:vMerge w:val="continue"/>
            <w:tcBorders>
              <w:top w:val="nil"/>
              <w:left w:val="single" w:color="000000" w:sz="4" w:space="0"/>
              <w:bottom w:val="single" w:color="000000" w:sz="4" w:space="0"/>
              <w:right w:val="single" w:color="000000" w:sz="4" w:space="0"/>
            </w:tcBorders>
            <w:vAlign w:val="center"/>
          </w:tcPr>
          <w:p w14:paraId="1921278F">
            <w:pPr>
              <w:widowControl/>
              <w:spacing w:before="100" w:beforeAutospacing="1" w:after="100" w:afterAutospacing="1"/>
              <w:jc w:val="center"/>
              <w:textAlignment w:val="baseline"/>
              <w:rPr>
                <w:rStyle w:val="58"/>
                <w:rFonts w:ascii="宋体" w:hAnsi="宋体"/>
                <w:color w:val="000000" w:themeColor="text1"/>
                <w:szCs w:val="21"/>
                <w14:textFill>
                  <w14:solidFill>
                    <w14:schemeClr w14:val="tx1"/>
                  </w14:solidFill>
                </w14:textFill>
              </w:rPr>
            </w:pPr>
          </w:p>
        </w:tc>
        <w:tc>
          <w:tcPr>
            <w:tcW w:w="3640" w:type="dxa"/>
            <w:tcBorders>
              <w:top w:val="single" w:color="000000" w:sz="4" w:space="0"/>
              <w:left w:val="single" w:color="000000" w:sz="4" w:space="0"/>
              <w:bottom w:val="single" w:color="000000" w:sz="4" w:space="0"/>
              <w:right w:val="single" w:color="000000" w:sz="4" w:space="0"/>
            </w:tcBorders>
            <w:vAlign w:val="center"/>
          </w:tcPr>
          <w:p w14:paraId="27F76288">
            <w:pPr>
              <w:pStyle w:val="64"/>
              <w:spacing w:before="100" w:beforeAutospacing="1" w:after="100" w:afterAutospacing="1"/>
              <w:jc w:val="center"/>
              <w:rPr>
                <w:rStyle w:val="58"/>
                <w:color w:val="000000" w:themeColor="text1"/>
                <w:szCs w:val="21"/>
                <w14:textFill>
                  <w14:solidFill>
                    <w14:schemeClr w14:val="tx1"/>
                  </w14:solidFill>
                </w14:textFill>
              </w:rPr>
            </w:pPr>
            <w:r>
              <w:rPr>
                <w:rStyle w:val="58"/>
                <w:color w:val="000000" w:themeColor="text1"/>
                <w:szCs w:val="21"/>
                <w14:textFill>
                  <w14:solidFill>
                    <w14:schemeClr w14:val="tx1"/>
                  </w14:solidFill>
                </w14:textFill>
              </w:rPr>
              <w:t>系统优化能力（15分）</w:t>
            </w:r>
          </w:p>
        </w:tc>
        <w:tc>
          <w:tcPr>
            <w:tcW w:w="1170" w:type="dxa"/>
            <w:vMerge w:val="continue"/>
            <w:tcBorders>
              <w:top w:val="nil"/>
              <w:left w:val="single" w:color="000000" w:sz="4" w:space="0"/>
              <w:bottom w:val="single" w:color="000000" w:sz="4" w:space="0"/>
              <w:right w:val="single" w:color="000000" w:sz="4" w:space="0"/>
            </w:tcBorders>
            <w:vAlign w:val="center"/>
          </w:tcPr>
          <w:p w14:paraId="588BBD1E">
            <w:pPr>
              <w:widowControl/>
              <w:spacing w:before="100" w:beforeAutospacing="1" w:after="100" w:afterAutospacing="1"/>
              <w:jc w:val="center"/>
              <w:textAlignment w:val="baseline"/>
              <w:rPr>
                <w:rStyle w:val="58"/>
                <w:rFonts w:ascii="宋体" w:hAnsi="宋体"/>
                <w:color w:val="000000" w:themeColor="text1"/>
                <w:szCs w:val="21"/>
                <w14:textFill>
                  <w14:solidFill>
                    <w14:schemeClr w14:val="tx1"/>
                  </w14:solidFill>
                </w14:textFill>
              </w:rPr>
            </w:pPr>
          </w:p>
        </w:tc>
        <w:tc>
          <w:tcPr>
            <w:tcW w:w="1040" w:type="dxa"/>
            <w:tcBorders>
              <w:top w:val="single" w:color="000000" w:sz="4" w:space="0"/>
              <w:left w:val="single" w:color="000000" w:sz="4" w:space="0"/>
              <w:bottom w:val="single" w:color="000000" w:sz="4" w:space="0"/>
              <w:right w:val="single" w:color="000000" w:sz="4" w:space="0"/>
            </w:tcBorders>
            <w:vAlign w:val="center"/>
          </w:tcPr>
          <w:p w14:paraId="03E30D35">
            <w:pPr>
              <w:pStyle w:val="64"/>
              <w:spacing w:before="100" w:beforeAutospacing="1" w:after="100" w:afterAutospacing="1"/>
              <w:jc w:val="center"/>
              <w:rPr>
                <w:rStyle w:val="58"/>
                <w:color w:val="000000" w:themeColor="text1"/>
                <w:szCs w:val="21"/>
                <w14:textFill>
                  <w14:solidFill>
                    <w14:schemeClr w14:val="tx1"/>
                  </w14:solidFill>
                </w14:textFill>
              </w:rPr>
            </w:pPr>
          </w:p>
        </w:tc>
      </w:tr>
      <w:tr w14:paraId="38F6F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910" w:type="dxa"/>
            <w:vMerge w:val="restart"/>
            <w:tcBorders>
              <w:top w:val="single" w:color="000000" w:sz="4" w:space="0"/>
              <w:left w:val="single" w:color="000000" w:sz="4" w:space="0"/>
              <w:bottom w:val="single" w:color="000000" w:sz="4" w:space="0"/>
              <w:right w:val="single" w:color="000000" w:sz="4" w:space="0"/>
            </w:tcBorders>
            <w:vAlign w:val="center"/>
          </w:tcPr>
          <w:p w14:paraId="6071BC8A">
            <w:pPr>
              <w:pStyle w:val="64"/>
              <w:spacing w:before="100" w:beforeAutospacing="1" w:after="100" w:afterAutospacing="1"/>
              <w:jc w:val="center"/>
              <w:rPr>
                <w:rStyle w:val="58"/>
                <w:color w:val="000000" w:themeColor="text1"/>
                <w:szCs w:val="21"/>
                <w14:textFill>
                  <w14:solidFill>
                    <w14:schemeClr w14:val="tx1"/>
                  </w14:solidFill>
                </w14:textFill>
              </w:rPr>
            </w:pPr>
            <w:r>
              <w:rPr>
                <w:rStyle w:val="58"/>
                <w:color w:val="000000" w:themeColor="text1"/>
                <w:szCs w:val="21"/>
                <w14:textFill>
                  <w14:solidFill>
                    <w14:schemeClr w14:val="tx1"/>
                  </w14:solidFill>
                </w14:textFill>
              </w:rPr>
              <w:t>3</w:t>
            </w:r>
          </w:p>
        </w:tc>
        <w:tc>
          <w:tcPr>
            <w:tcW w:w="1560" w:type="dxa"/>
            <w:vMerge w:val="restart"/>
            <w:tcBorders>
              <w:top w:val="single" w:color="000000" w:sz="4" w:space="0"/>
              <w:left w:val="single" w:color="000000" w:sz="4" w:space="0"/>
              <w:bottom w:val="single" w:color="000000" w:sz="4" w:space="0"/>
              <w:right w:val="single" w:color="000000" w:sz="4" w:space="0"/>
            </w:tcBorders>
            <w:vAlign w:val="center"/>
          </w:tcPr>
          <w:p w14:paraId="065ADB52">
            <w:pPr>
              <w:pStyle w:val="64"/>
              <w:spacing w:before="100" w:beforeAutospacing="1" w:after="100" w:afterAutospacing="1"/>
              <w:jc w:val="center"/>
              <w:rPr>
                <w:rStyle w:val="58"/>
                <w:color w:val="000000" w:themeColor="text1"/>
                <w:szCs w:val="21"/>
                <w14:textFill>
                  <w14:solidFill>
                    <w14:schemeClr w14:val="tx1"/>
                  </w14:solidFill>
                </w14:textFill>
              </w:rPr>
            </w:pPr>
            <w:r>
              <w:rPr>
                <w:rStyle w:val="58"/>
                <w:color w:val="000000" w:themeColor="text1"/>
                <w:szCs w:val="21"/>
                <w14:textFill>
                  <w14:solidFill>
                    <w14:schemeClr w14:val="tx1"/>
                  </w14:solidFill>
                </w14:textFill>
              </w:rPr>
              <w:t>应急响应</w:t>
            </w:r>
          </w:p>
        </w:tc>
        <w:tc>
          <w:tcPr>
            <w:tcW w:w="3640" w:type="dxa"/>
            <w:tcBorders>
              <w:top w:val="single" w:color="000000" w:sz="4" w:space="0"/>
              <w:left w:val="single" w:color="000000" w:sz="4" w:space="0"/>
              <w:bottom w:val="single" w:color="000000" w:sz="4" w:space="0"/>
              <w:right w:val="single" w:color="000000" w:sz="4" w:space="0"/>
            </w:tcBorders>
            <w:vAlign w:val="center"/>
          </w:tcPr>
          <w:p w14:paraId="669C7C74">
            <w:pPr>
              <w:pStyle w:val="64"/>
              <w:spacing w:before="100" w:beforeAutospacing="1" w:after="100" w:afterAutospacing="1"/>
              <w:jc w:val="center"/>
              <w:rPr>
                <w:rStyle w:val="58"/>
                <w:color w:val="000000" w:themeColor="text1"/>
                <w:szCs w:val="21"/>
                <w14:textFill>
                  <w14:solidFill>
                    <w14:schemeClr w14:val="tx1"/>
                  </w14:solidFill>
                </w14:textFill>
              </w:rPr>
            </w:pPr>
            <w:r>
              <w:rPr>
                <w:rStyle w:val="58"/>
                <w:color w:val="000000" w:themeColor="text1"/>
                <w:szCs w:val="21"/>
                <w14:textFill>
                  <w14:solidFill>
                    <w14:schemeClr w14:val="tx1"/>
                  </w14:solidFill>
                </w14:textFill>
              </w:rPr>
              <w:t>突发事件应急响应及时性（10分）</w:t>
            </w:r>
          </w:p>
        </w:tc>
        <w:tc>
          <w:tcPr>
            <w:tcW w:w="1170" w:type="dxa"/>
            <w:vMerge w:val="restart"/>
            <w:tcBorders>
              <w:top w:val="single" w:color="000000" w:sz="4" w:space="0"/>
              <w:left w:val="single" w:color="000000" w:sz="4" w:space="0"/>
              <w:bottom w:val="single" w:color="000000" w:sz="4" w:space="0"/>
              <w:right w:val="single" w:color="000000" w:sz="4" w:space="0"/>
            </w:tcBorders>
            <w:vAlign w:val="center"/>
          </w:tcPr>
          <w:p w14:paraId="1C5F59AA">
            <w:pPr>
              <w:pStyle w:val="64"/>
              <w:spacing w:before="100" w:beforeAutospacing="1" w:after="100" w:afterAutospacing="1"/>
              <w:jc w:val="center"/>
              <w:rPr>
                <w:rStyle w:val="58"/>
                <w:color w:val="000000" w:themeColor="text1"/>
                <w:szCs w:val="21"/>
                <w14:textFill>
                  <w14:solidFill>
                    <w14:schemeClr w14:val="tx1"/>
                  </w14:solidFill>
                </w14:textFill>
              </w:rPr>
            </w:pPr>
            <w:r>
              <w:rPr>
                <w:rStyle w:val="58"/>
                <w:color w:val="000000" w:themeColor="text1"/>
                <w:szCs w:val="21"/>
                <w14:textFill>
                  <w14:solidFill>
                    <w14:schemeClr w14:val="tx1"/>
                  </w14:solidFill>
                </w14:textFill>
              </w:rPr>
              <w:t>25分</w:t>
            </w:r>
          </w:p>
        </w:tc>
        <w:tc>
          <w:tcPr>
            <w:tcW w:w="1040" w:type="dxa"/>
            <w:tcBorders>
              <w:top w:val="single" w:color="000000" w:sz="4" w:space="0"/>
              <w:left w:val="single" w:color="000000" w:sz="4" w:space="0"/>
              <w:bottom w:val="single" w:color="000000" w:sz="4" w:space="0"/>
              <w:right w:val="single" w:color="000000" w:sz="4" w:space="0"/>
            </w:tcBorders>
            <w:vAlign w:val="center"/>
          </w:tcPr>
          <w:p w14:paraId="10FF9B56">
            <w:pPr>
              <w:pStyle w:val="64"/>
              <w:spacing w:before="100" w:beforeAutospacing="1" w:after="100" w:afterAutospacing="1"/>
              <w:jc w:val="center"/>
              <w:rPr>
                <w:rStyle w:val="58"/>
                <w:color w:val="000000" w:themeColor="text1"/>
                <w:szCs w:val="21"/>
                <w14:textFill>
                  <w14:solidFill>
                    <w14:schemeClr w14:val="tx1"/>
                  </w14:solidFill>
                </w14:textFill>
              </w:rPr>
            </w:pPr>
          </w:p>
        </w:tc>
      </w:tr>
      <w:tr w14:paraId="0EE60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910" w:type="dxa"/>
            <w:vMerge w:val="continue"/>
            <w:tcBorders>
              <w:top w:val="nil"/>
              <w:left w:val="single" w:color="000000" w:sz="4" w:space="0"/>
              <w:bottom w:val="single" w:color="000000" w:sz="4" w:space="0"/>
              <w:right w:val="single" w:color="000000" w:sz="4" w:space="0"/>
            </w:tcBorders>
            <w:vAlign w:val="center"/>
          </w:tcPr>
          <w:p w14:paraId="7680AB5A">
            <w:pPr>
              <w:widowControl/>
              <w:spacing w:before="100" w:beforeAutospacing="1" w:after="100" w:afterAutospacing="1"/>
              <w:jc w:val="center"/>
              <w:textAlignment w:val="baseline"/>
              <w:rPr>
                <w:rStyle w:val="58"/>
                <w:rFonts w:ascii="宋体" w:hAnsi="宋体"/>
                <w:color w:val="000000" w:themeColor="text1"/>
                <w:szCs w:val="21"/>
                <w14:textFill>
                  <w14:solidFill>
                    <w14:schemeClr w14:val="tx1"/>
                  </w14:solidFill>
                </w14:textFill>
              </w:rPr>
            </w:pPr>
          </w:p>
        </w:tc>
        <w:tc>
          <w:tcPr>
            <w:tcW w:w="1560" w:type="dxa"/>
            <w:vMerge w:val="continue"/>
            <w:tcBorders>
              <w:top w:val="nil"/>
              <w:left w:val="single" w:color="000000" w:sz="4" w:space="0"/>
              <w:bottom w:val="single" w:color="000000" w:sz="4" w:space="0"/>
              <w:right w:val="single" w:color="000000" w:sz="4" w:space="0"/>
            </w:tcBorders>
            <w:vAlign w:val="center"/>
          </w:tcPr>
          <w:p w14:paraId="413A9AB3">
            <w:pPr>
              <w:widowControl/>
              <w:spacing w:before="100" w:beforeAutospacing="1" w:after="100" w:afterAutospacing="1"/>
              <w:jc w:val="center"/>
              <w:textAlignment w:val="baseline"/>
              <w:rPr>
                <w:rStyle w:val="58"/>
                <w:rFonts w:ascii="宋体" w:hAnsi="宋体"/>
                <w:color w:val="000000" w:themeColor="text1"/>
                <w:szCs w:val="21"/>
                <w14:textFill>
                  <w14:solidFill>
                    <w14:schemeClr w14:val="tx1"/>
                  </w14:solidFill>
                </w14:textFill>
              </w:rPr>
            </w:pPr>
          </w:p>
        </w:tc>
        <w:tc>
          <w:tcPr>
            <w:tcW w:w="3640" w:type="dxa"/>
            <w:tcBorders>
              <w:top w:val="single" w:color="000000" w:sz="4" w:space="0"/>
              <w:left w:val="single" w:color="000000" w:sz="4" w:space="0"/>
              <w:bottom w:val="single" w:color="000000" w:sz="4" w:space="0"/>
              <w:right w:val="single" w:color="000000" w:sz="4" w:space="0"/>
            </w:tcBorders>
            <w:vAlign w:val="center"/>
          </w:tcPr>
          <w:p w14:paraId="004D9A60">
            <w:pPr>
              <w:pStyle w:val="64"/>
              <w:spacing w:before="100" w:beforeAutospacing="1" w:after="100" w:afterAutospacing="1"/>
              <w:jc w:val="center"/>
              <w:rPr>
                <w:rStyle w:val="58"/>
                <w:color w:val="000000" w:themeColor="text1"/>
                <w:szCs w:val="21"/>
                <w14:textFill>
                  <w14:solidFill>
                    <w14:schemeClr w14:val="tx1"/>
                  </w14:solidFill>
                </w14:textFill>
              </w:rPr>
            </w:pPr>
            <w:r>
              <w:rPr>
                <w:rStyle w:val="58"/>
                <w:color w:val="000000" w:themeColor="text1"/>
                <w:spacing w:val="-3"/>
                <w:szCs w:val="21"/>
                <w14:textFill>
                  <w14:solidFill>
                    <w14:schemeClr w14:val="tx1"/>
                  </w14:solidFill>
                </w14:textFill>
              </w:rPr>
              <w:t>突发事件应急处置执行情况</w:t>
            </w:r>
            <w:r>
              <w:rPr>
                <w:rStyle w:val="58"/>
                <w:color w:val="000000" w:themeColor="text1"/>
                <w:szCs w:val="21"/>
                <w14:textFill>
                  <w14:solidFill>
                    <w14:schemeClr w14:val="tx1"/>
                  </w14:solidFill>
                </w14:textFill>
              </w:rPr>
              <w:t>（15</w:t>
            </w:r>
            <w:r>
              <w:rPr>
                <w:rStyle w:val="58"/>
                <w:color w:val="000000" w:themeColor="text1"/>
                <w:spacing w:val="-30"/>
                <w:szCs w:val="21"/>
                <w14:textFill>
                  <w14:solidFill>
                    <w14:schemeClr w14:val="tx1"/>
                  </w14:solidFill>
                </w14:textFill>
              </w:rPr>
              <w:t>分</w:t>
            </w:r>
            <w:r>
              <w:rPr>
                <w:rStyle w:val="58"/>
                <w:color w:val="000000" w:themeColor="text1"/>
                <w:spacing w:val="-13"/>
                <w:szCs w:val="21"/>
                <w14:textFill>
                  <w14:solidFill>
                    <w14:schemeClr w14:val="tx1"/>
                  </w14:solidFill>
                </w14:textFill>
              </w:rPr>
              <w:t>）</w:t>
            </w:r>
          </w:p>
        </w:tc>
        <w:tc>
          <w:tcPr>
            <w:tcW w:w="1170" w:type="dxa"/>
            <w:vMerge w:val="continue"/>
            <w:tcBorders>
              <w:top w:val="nil"/>
              <w:left w:val="single" w:color="000000" w:sz="4" w:space="0"/>
              <w:bottom w:val="single" w:color="000000" w:sz="4" w:space="0"/>
              <w:right w:val="single" w:color="000000" w:sz="4" w:space="0"/>
            </w:tcBorders>
            <w:vAlign w:val="center"/>
          </w:tcPr>
          <w:p w14:paraId="3C280415">
            <w:pPr>
              <w:widowControl/>
              <w:spacing w:before="100" w:beforeAutospacing="1" w:after="100" w:afterAutospacing="1"/>
              <w:jc w:val="center"/>
              <w:textAlignment w:val="baseline"/>
              <w:rPr>
                <w:rStyle w:val="58"/>
                <w:rFonts w:ascii="宋体" w:hAnsi="宋体"/>
                <w:color w:val="000000" w:themeColor="text1"/>
                <w:szCs w:val="21"/>
                <w14:textFill>
                  <w14:solidFill>
                    <w14:schemeClr w14:val="tx1"/>
                  </w14:solidFill>
                </w14:textFill>
              </w:rPr>
            </w:pPr>
          </w:p>
        </w:tc>
        <w:tc>
          <w:tcPr>
            <w:tcW w:w="1040" w:type="dxa"/>
            <w:tcBorders>
              <w:top w:val="single" w:color="000000" w:sz="4" w:space="0"/>
              <w:left w:val="single" w:color="000000" w:sz="4" w:space="0"/>
              <w:bottom w:val="single" w:color="000000" w:sz="4" w:space="0"/>
              <w:right w:val="single" w:color="000000" w:sz="4" w:space="0"/>
            </w:tcBorders>
            <w:vAlign w:val="center"/>
          </w:tcPr>
          <w:p w14:paraId="66315DBD">
            <w:pPr>
              <w:pStyle w:val="64"/>
              <w:spacing w:before="100" w:beforeAutospacing="1" w:after="100" w:afterAutospacing="1"/>
              <w:jc w:val="center"/>
              <w:rPr>
                <w:rStyle w:val="58"/>
                <w:color w:val="000000" w:themeColor="text1"/>
                <w:szCs w:val="21"/>
                <w14:textFill>
                  <w14:solidFill>
                    <w14:schemeClr w14:val="tx1"/>
                  </w14:solidFill>
                </w14:textFill>
              </w:rPr>
            </w:pPr>
          </w:p>
        </w:tc>
      </w:tr>
      <w:tr w14:paraId="3A6EE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910" w:type="dxa"/>
            <w:vMerge w:val="restart"/>
            <w:tcBorders>
              <w:top w:val="single" w:color="000000" w:sz="4" w:space="0"/>
              <w:left w:val="single" w:color="000000" w:sz="4" w:space="0"/>
              <w:bottom w:val="single" w:color="000000" w:sz="4" w:space="0"/>
              <w:right w:val="single" w:color="000000" w:sz="4" w:space="0"/>
            </w:tcBorders>
            <w:vAlign w:val="center"/>
          </w:tcPr>
          <w:p w14:paraId="29D3C0F9">
            <w:pPr>
              <w:pStyle w:val="64"/>
              <w:spacing w:before="100" w:beforeAutospacing="1" w:after="100" w:afterAutospacing="1"/>
              <w:jc w:val="center"/>
              <w:rPr>
                <w:rStyle w:val="58"/>
                <w:color w:val="000000" w:themeColor="text1"/>
                <w:szCs w:val="21"/>
                <w14:textFill>
                  <w14:solidFill>
                    <w14:schemeClr w14:val="tx1"/>
                  </w14:solidFill>
                </w14:textFill>
              </w:rPr>
            </w:pPr>
            <w:r>
              <w:rPr>
                <w:rStyle w:val="58"/>
                <w:color w:val="000000" w:themeColor="text1"/>
                <w:szCs w:val="21"/>
                <w14:textFill>
                  <w14:solidFill>
                    <w14:schemeClr w14:val="tx1"/>
                  </w14:solidFill>
                </w14:textFill>
              </w:rPr>
              <w:t>4</w:t>
            </w:r>
          </w:p>
        </w:tc>
        <w:tc>
          <w:tcPr>
            <w:tcW w:w="1560" w:type="dxa"/>
            <w:vMerge w:val="restart"/>
            <w:tcBorders>
              <w:top w:val="single" w:color="000000" w:sz="4" w:space="0"/>
              <w:left w:val="single" w:color="000000" w:sz="4" w:space="0"/>
              <w:bottom w:val="single" w:color="000000" w:sz="4" w:space="0"/>
              <w:right w:val="single" w:color="000000" w:sz="4" w:space="0"/>
            </w:tcBorders>
            <w:vAlign w:val="center"/>
          </w:tcPr>
          <w:p w14:paraId="3B9ECD26">
            <w:pPr>
              <w:pStyle w:val="64"/>
              <w:spacing w:before="100" w:beforeAutospacing="1" w:after="100" w:afterAutospacing="1"/>
              <w:jc w:val="center"/>
              <w:rPr>
                <w:rStyle w:val="58"/>
                <w:color w:val="000000" w:themeColor="text1"/>
                <w:szCs w:val="21"/>
                <w14:textFill>
                  <w14:solidFill>
                    <w14:schemeClr w14:val="tx1"/>
                  </w14:solidFill>
                </w14:textFill>
              </w:rPr>
            </w:pPr>
            <w:r>
              <w:rPr>
                <w:rStyle w:val="58"/>
                <w:color w:val="000000" w:themeColor="text1"/>
                <w:szCs w:val="21"/>
                <w14:textFill>
                  <w14:solidFill>
                    <w14:schemeClr w14:val="tx1"/>
                  </w14:solidFill>
                </w14:textFill>
              </w:rPr>
              <w:t>文档管理</w:t>
            </w:r>
          </w:p>
        </w:tc>
        <w:tc>
          <w:tcPr>
            <w:tcW w:w="3640" w:type="dxa"/>
            <w:tcBorders>
              <w:top w:val="single" w:color="000000" w:sz="4" w:space="0"/>
              <w:left w:val="single" w:color="000000" w:sz="4" w:space="0"/>
              <w:bottom w:val="single" w:color="000000" w:sz="4" w:space="0"/>
              <w:right w:val="single" w:color="000000" w:sz="4" w:space="0"/>
            </w:tcBorders>
            <w:vAlign w:val="center"/>
          </w:tcPr>
          <w:p w14:paraId="56310997">
            <w:pPr>
              <w:pStyle w:val="64"/>
              <w:spacing w:before="100" w:beforeAutospacing="1" w:after="100" w:afterAutospacing="1"/>
              <w:jc w:val="center"/>
              <w:rPr>
                <w:rStyle w:val="58"/>
                <w:color w:val="000000" w:themeColor="text1"/>
                <w:szCs w:val="21"/>
                <w14:textFill>
                  <w14:solidFill>
                    <w14:schemeClr w14:val="tx1"/>
                  </w14:solidFill>
                </w14:textFill>
              </w:rPr>
            </w:pPr>
            <w:r>
              <w:rPr>
                <w:rStyle w:val="58"/>
                <w:color w:val="000000" w:themeColor="text1"/>
                <w:szCs w:val="21"/>
                <w14:textFill>
                  <w14:solidFill>
                    <w14:schemeClr w14:val="tx1"/>
                  </w14:solidFill>
                </w14:textFill>
              </w:rPr>
              <w:t>巡检记录表（5分）</w:t>
            </w:r>
          </w:p>
        </w:tc>
        <w:tc>
          <w:tcPr>
            <w:tcW w:w="1170" w:type="dxa"/>
            <w:vMerge w:val="restart"/>
            <w:tcBorders>
              <w:top w:val="single" w:color="000000" w:sz="4" w:space="0"/>
              <w:left w:val="single" w:color="000000" w:sz="4" w:space="0"/>
              <w:bottom w:val="single" w:color="000000" w:sz="4" w:space="0"/>
              <w:right w:val="single" w:color="000000" w:sz="4" w:space="0"/>
            </w:tcBorders>
            <w:vAlign w:val="center"/>
          </w:tcPr>
          <w:p w14:paraId="3249B714">
            <w:pPr>
              <w:pStyle w:val="64"/>
              <w:spacing w:before="100" w:beforeAutospacing="1" w:after="100" w:afterAutospacing="1"/>
              <w:jc w:val="center"/>
              <w:rPr>
                <w:rStyle w:val="58"/>
                <w:color w:val="000000" w:themeColor="text1"/>
                <w:szCs w:val="21"/>
                <w14:textFill>
                  <w14:solidFill>
                    <w14:schemeClr w14:val="tx1"/>
                  </w14:solidFill>
                </w14:textFill>
              </w:rPr>
            </w:pPr>
            <w:r>
              <w:rPr>
                <w:rStyle w:val="58"/>
                <w:color w:val="000000" w:themeColor="text1"/>
                <w:szCs w:val="21"/>
                <w14:textFill>
                  <w14:solidFill>
                    <w14:schemeClr w14:val="tx1"/>
                  </w14:solidFill>
                </w14:textFill>
              </w:rPr>
              <w:t>10分</w:t>
            </w:r>
          </w:p>
        </w:tc>
        <w:tc>
          <w:tcPr>
            <w:tcW w:w="1040" w:type="dxa"/>
            <w:tcBorders>
              <w:top w:val="single" w:color="000000" w:sz="4" w:space="0"/>
              <w:left w:val="single" w:color="000000" w:sz="4" w:space="0"/>
              <w:bottom w:val="single" w:color="000000" w:sz="4" w:space="0"/>
              <w:right w:val="single" w:color="000000" w:sz="4" w:space="0"/>
            </w:tcBorders>
            <w:vAlign w:val="center"/>
          </w:tcPr>
          <w:p w14:paraId="51015035">
            <w:pPr>
              <w:pStyle w:val="64"/>
              <w:spacing w:before="100" w:beforeAutospacing="1" w:after="100" w:afterAutospacing="1"/>
              <w:jc w:val="center"/>
              <w:rPr>
                <w:rStyle w:val="58"/>
                <w:color w:val="000000" w:themeColor="text1"/>
                <w:szCs w:val="21"/>
                <w14:textFill>
                  <w14:solidFill>
                    <w14:schemeClr w14:val="tx1"/>
                  </w14:solidFill>
                </w14:textFill>
              </w:rPr>
            </w:pPr>
          </w:p>
        </w:tc>
      </w:tr>
      <w:tr w14:paraId="09514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910" w:type="dxa"/>
            <w:vMerge w:val="continue"/>
            <w:tcBorders>
              <w:top w:val="nil"/>
              <w:left w:val="single" w:color="000000" w:sz="4" w:space="0"/>
              <w:bottom w:val="single" w:color="000000" w:sz="4" w:space="0"/>
              <w:right w:val="single" w:color="000000" w:sz="4" w:space="0"/>
            </w:tcBorders>
            <w:vAlign w:val="center"/>
          </w:tcPr>
          <w:p w14:paraId="4BCF02C2">
            <w:pPr>
              <w:widowControl/>
              <w:spacing w:before="100" w:beforeAutospacing="1" w:after="100" w:afterAutospacing="1"/>
              <w:jc w:val="center"/>
              <w:textAlignment w:val="baseline"/>
              <w:rPr>
                <w:rStyle w:val="58"/>
                <w:rFonts w:ascii="宋体" w:hAnsi="宋体"/>
                <w:color w:val="000000" w:themeColor="text1"/>
                <w:szCs w:val="21"/>
                <w14:textFill>
                  <w14:solidFill>
                    <w14:schemeClr w14:val="tx1"/>
                  </w14:solidFill>
                </w14:textFill>
              </w:rPr>
            </w:pPr>
          </w:p>
        </w:tc>
        <w:tc>
          <w:tcPr>
            <w:tcW w:w="1560" w:type="dxa"/>
            <w:vMerge w:val="continue"/>
            <w:tcBorders>
              <w:top w:val="nil"/>
              <w:left w:val="single" w:color="000000" w:sz="4" w:space="0"/>
              <w:bottom w:val="single" w:color="000000" w:sz="4" w:space="0"/>
              <w:right w:val="single" w:color="000000" w:sz="4" w:space="0"/>
            </w:tcBorders>
            <w:vAlign w:val="center"/>
          </w:tcPr>
          <w:p w14:paraId="5FA9AD95">
            <w:pPr>
              <w:widowControl/>
              <w:spacing w:before="100" w:beforeAutospacing="1" w:after="100" w:afterAutospacing="1"/>
              <w:jc w:val="center"/>
              <w:textAlignment w:val="baseline"/>
              <w:rPr>
                <w:rStyle w:val="58"/>
                <w:rFonts w:ascii="宋体" w:hAnsi="宋体"/>
                <w:color w:val="000000" w:themeColor="text1"/>
                <w:szCs w:val="21"/>
                <w14:textFill>
                  <w14:solidFill>
                    <w14:schemeClr w14:val="tx1"/>
                  </w14:solidFill>
                </w14:textFill>
              </w:rPr>
            </w:pPr>
          </w:p>
        </w:tc>
        <w:tc>
          <w:tcPr>
            <w:tcW w:w="3640" w:type="dxa"/>
            <w:tcBorders>
              <w:top w:val="single" w:color="000000" w:sz="4" w:space="0"/>
              <w:left w:val="single" w:color="000000" w:sz="4" w:space="0"/>
              <w:bottom w:val="single" w:color="000000" w:sz="4" w:space="0"/>
              <w:right w:val="single" w:color="000000" w:sz="4" w:space="0"/>
            </w:tcBorders>
            <w:vAlign w:val="center"/>
          </w:tcPr>
          <w:p w14:paraId="0B75168E">
            <w:pPr>
              <w:pStyle w:val="64"/>
              <w:spacing w:before="100" w:beforeAutospacing="1" w:after="100" w:afterAutospacing="1"/>
              <w:jc w:val="center"/>
              <w:rPr>
                <w:rStyle w:val="58"/>
                <w:color w:val="000000" w:themeColor="text1"/>
                <w:szCs w:val="21"/>
                <w14:textFill>
                  <w14:solidFill>
                    <w14:schemeClr w14:val="tx1"/>
                  </w14:solidFill>
                </w14:textFill>
              </w:rPr>
            </w:pPr>
            <w:r>
              <w:rPr>
                <w:rStyle w:val="58"/>
                <w:color w:val="000000" w:themeColor="text1"/>
                <w:szCs w:val="21"/>
                <w14:textFill>
                  <w14:solidFill>
                    <w14:schemeClr w14:val="tx1"/>
                  </w14:solidFill>
                </w14:textFill>
              </w:rPr>
              <w:t>故障分析报告（5分）</w:t>
            </w:r>
          </w:p>
        </w:tc>
        <w:tc>
          <w:tcPr>
            <w:tcW w:w="1170" w:type="dxa"/>
            <w:vMerge w:val="continue"/>
            <w:tcBorders>
              <w:top w:val="nil"/>
              <w:left w:val="single" w:color="000000" w:sz="4" w:space="0"/>
              <w:bottom w:val="single" w:color="000000" w:sz="4" w:space="0"/>
              <w:right w:val="single" w:color="000000" w:sz="4" w:space="0"/>
            </w:tcBorders>
            <w:vAlign w:val="center"/>
          </w:tcPr>
          <w:p w14:paraId="25EF0EDE">
            <w:pPr>
              <w:widowControl/>
              <w:spacing w:before="100" w:beforeAutospacing="1" w:after="100" w:afterAutospacing="1"/>
              <w:jc w:val="center"/>
              <w:textAlignment w:val="baseline"/>
              <w:rPr>
                <w:rStyle w:val="58"/>
                <w:rFonts w:ascii="宋体" w:hAnsi="宋体"/>
                <w:color w:val="000000" w:themeColor="text1"/>
                <w:szCs w:val="21"/>
                <w14:textFill>
                  <w14:solidFill>
                    <w14:schemeClr w14:val="tx1"/>
                  </w14:solidFill>
                </w14:textFill>
              </w:rPr>
            </w:pPr>
          </w:p>
        </w:tc>
        <w:tc>
          <w:tcPr>
            <w:tcW w:w="1040" w:type="dxa"/>
            <w:tcBorders>
              <w:top w:val="single" w:color="000000" w:sz="4" w:space="0"/>
              <w:left w:val="single" w:color="000000" w:sz="4" w:space="0"/>
              <w:bottom w:val="single" w:color="000000" w:sz="4" w:space="0"/>
              <w:right w:val="single" w:color="000000" w:sz="4" w:space="0"/>
            </w:tcBorders>
            <w:vAlign w:val="center"/>
          </w:tcPr>
          <w:p w14:paraId="5F1A26D9">
            <w:pPr>
              <w:pStyle w:val="64"/>
              <w:spacing w:before="100" w:beforeAutospacing="1" w:after="100" w:afterAutospacing="1"/>
              <w:jc w:val="center"/>
              <w:rPr>
                <w:rStyle w:val="58"/>
                <w:color w:val="000000" w:themeColor="text1"/>
                <w:szCs w:val="21"/>
                <w14:textFill>
                  <w14:solidFill>
                    <w14:schemeClr w14:val="tx1"/>
                  </w14:solidFill>
                </w14:textFill>
              </w:rPr>
            </w:pPr>
          </w:p>
        </w:tc>
      </w:tr>
    </w:tbl>
    <w:p w14:paraId="0E5BC3E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宋体" w:hAnsi="宋体"/>
          <w:color w:val="000000" w:themeColor="text1"/>
          <w:sz w:val="24"/>
          <w14:textFill>
            <w14:solidFill>
              <w14:schemeClr w14:val="tx1"/>
            </w14:solidFill>
          </w14:textFill>
        </w:rPr>
      </w:pPr>
    </w:p>
    <w:p w14:paraId="414FC0D8">
      <w:pPr>
        <w:keepNext w:val="0"/>
        <w:keepLines w:val="0"/>
        <w:pageBreakBefore w:val="0"/>
        <w:widowControl w:val="0"/>
        <w:numPr>
          <w:ilvl w:val="0"/>
          <w:numId w:val="2"/>
        </w:numPr>
        <w:kinsoku/>
        <w:wordWrap/>
        <w:overflowPunct/>
        <w:topLinePunct w:val="0"/>
        <w:autoSpaceDE w:val="0"/>
        <w:autoSpaceDN w:val="0"/>
        <w:bidi w:val="0"/>
        <w:adjustRightInd w:val="0"/>
        <w:snapToGrid w:val="0"/>
        <w:spacing w:line="360" w:lineRule="auto"/>
        <w:ind w:firstLine="480" w:firstLineChars="200"/>
        <w:jc w:val="left"/>
        <w:textAlignment w:val="auto"/>
      </w:pPr>
      <w:r>
        <w:rPr>
          <w:rFonts w:hint="eastAsia" w:ascii="宋体" w:hAnsi="宋体"/>
          <w:color w:val="000000" w:themeColor="text1"/>
          <w:sz w:val="24"/>
          <w14:textFill>
            <w14:solidFill>
              <w14:schemeClr w14:val="tx1"/>
            </w14:solidFill>
          </w14:textFill>
        </w:rPr>
        <w:t>对于技术水平低、服务态度差、责任性不强的驻场服务人员，服务方应依据院方要求进行整改或更换。</w:t>
      </w:r>
    </w:p>
    <w:p w14:paraId="186CC7D5">
      <w:pPr>
        <w:pStyle w:val="65"/>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Times New Roman"/>
          <w:b/>
          <w:bCs w:val="0"/>
          <w:color w:val="000000" w:themeColor="text1"/>
          <w:kern w:val="2"/>
          <w:sz w:val="24"/>
          <w:szCs w:val="24"/>
          <w:lang w:val="en-US" w:eastAsia="zh-CN" w:bidi="ar-SA"/>
          <w14:textFill>
            <w14:solidFill>
              <w14:schemeClr w14:val="tx1"/>
            </w14:solidFill>
          </w14:textFill>
        </w:rPr>
      </w:pPr>
      <w:r>
        <w:rPr>
          <w:rFonts w:hint="eastAsia" w:ascii="宋体" w:hAnsi="宋体" w:cs="Times New Roman"/>
          <w:b/>
          <w:bCs w:val="0"/>
          <w:color w:val="000000" w:themeColor="text1"/>
          <w:kern w:val="2"/>
          <w:sz w:val="24"/>
          <w:szCs w:val="24"/>
          <w:lang w:val="en-US" w:eastAsia="zh-CN" w:bidi="ar-SA"/>
          <w14:textFill>
            <w14:solidFill>
              <w14:schemeClr w14:val="tx1"/>
            </w14:solidFill>
          </w14:textFill>
        </w:rPr>
        <w:t>（六）</w:t>
      </w:r>
      <w:r>
        <w:rPr>
          <w:rFonts w:hint="eastAsia" w:ascii="宋体" w:hAnsi="宋体" w:eastAsia="宋体" w:cs="Times New Roman"/>
          <w:b/>
          <w:bCs w:val="0"/>
          <w:color w:val="000000" w:themeColor="text1"/>
          <w:kern w:val="2"/>
          <w:sz w:val="24"/>
          <w:szCs w:val="24"/>
          <w:lang w:val="en-US" w:eastAsia="zh-CN" w:bidi="ar-SA"/>
          <w14:textFill>
            <w14:solidFill>
              <w14:schemeClr w14:val="tx1"/>
            </w14:solidFill>
          </w14:textFill>
        </w:rPr>
        <w:t>评分办法</w:t>
      </w:r>
    </w:p>
    <w:tbl>
      <w:tblPr>
        <w:tblStyle w:val="2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8480"/>
      </w:tblGrid>
      <w:tr w14:paraId="509B1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211A447C">
            <w:pPr>
              <w:widowControl/>
              <w:spacing w:after="240" w:line="440" w:lineRule="exact"/>
              <w:jc w:val="center"/>
              <w:rPr>
                <w:rFonts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评分内容</w:t>
            </w:r>
          </w:p>
        </w:tc>
        <w:tc>
          <w:tcPr>
            <w:tcW w:w="8480" w:type="dxa"/>
            <w:vAlign w:val="center"/>
          </w:tcPr>
          <w:p w14:paraId="78713686">
            <w:pPr>
              <w:widowControl/>
              <w:spacing w:line="440" w:lineRule="exact"/>
              <w:jc w:val="center"/>
              <w:rPr>
                <w:rFonts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评分标准</w:t>
            </w:r>
          </w:p>
        </w:tc>
      </w:tr>
      <w:tr w14:paraId="106E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shd w:val="clear"/>
            <w:vAlign w:val="center"/>
          </w:tcPr>
          <w:p w14:paraId="5DE931EA">
            <w:pPr>
              <w:snapToGrid w:val="0"/>
              <w:spacing w:line="360" w:lineRule="auto"/>
              <w:jc w:val="center"/>
              <w:rPr>
                <w:rFonts w:ascii="宋体" w:hAnsi="宋体" w:cstheme="minorEastAsia"/>
                <w:b/>
                <w:bCs/>
                <w:color w:val="000000" w:themeColor="text1"/>
                <w:szCs w:val="21"/>
                <w14:textFill>
                  <w14:solidFill>
                    <w14:schemeClr w14:val="tx1"/>
                  </w14:solidFill>
                </w14:textFill>
              </w:rPr>
            </w:pPr>
            <w:r>
              <w:rPr>
                <w:rFonts w:hint="eastAsia" w:ascii="宋体" w:hAnsi="宋体" w:cstheme="minorEastAsia"/>
                <w:b/>
                <w:bCs/>
                <w:color w:val="000000" w:themeColor="text1"/>
                <w:szCs w:val="21"/>
                <w14:textFill>
                  <w14:solidFill>
                    <w14:schemeClr w14:val="tx1"/>
                  </w14:solidFill>
                </w14:textFill>
              </w:rPr>
              <w:t>价格</w:t>
            </w:r>
          </w:p>
          <w:p w14:paraId="2E3ECA51">
            <w:pPr>
              <w:snapToGrid w:val="0"/>
              <w:spacing w:line="360" w:lineRule="auto"/>
              <w:jc w:val="center"/>
              <w:rPr>
                <w:rFonts w:ascii="宋体" w:hAnsi="宋体" w:eastAsia="宋体" w:cstheme="minorEastAsia"/>
                <w:color w:val="000000" w:themeColor="text1"/>
                <w:kern w:val="2"/>
                <w:sz w:val="21"/>
                <w:szCs w:val="21"/>
                <w:lang w:val="en-US" w:eastAsia="zh-CN" w:bidi="ar-SA"/>
                <w14:textFill>
                  <w14:solidFill>
                    <w14:schemeClr w14:val="tx1"/>
                  </w14:solidFill>
                </w14:textFill>
              </w:rPr>
            </w:pPr>
            <w:r>
              <w:rPr>
                <w:rFonts w:hint="eastAsia" w:ascii="宋体" w:hAnsi="宋体" w:cstheme="minorEastAsia"/>
                <w:b/>
                <w:bCs/>
                <w:color w:val="000000" w:themeColor="text1"/>
                <w:szCs w:val="21"/>
                <w14:textFill>
                  <w14:solidFill>
                    <w14:schemeClr w14:val="tx1"/>
                  </w14:solidFill>
                </w14:textFill>
              </w:rPr>
              <w:t>（</w:t>
            </w:r>
            <w:r>
              <w:rPr>
                <w:rFonts w:hint="eastAsia" w:ascii="宋体" w:hAnsi="宋体" w:cstheme="minorEastAsia"/>
                <w:b/>
                <w:color w:val="000000" w:themeColor="text1"/>
                <w:szCs w:val="21"/>
                <w:lang w:val="en-US" w:eastAsia="zh-CN"/>
                <w14:textFill>
                  <w14:solidFill>
                    <w14:schemeClr w14:val="tx1"/>
                  </w14:solidFill>
                </w14:textFill>
              </w:rPr>
              <w:t>30</w:t>
            </w:r>
            <w:r>
              <w:rPr>
                <w:rFonts w:hint="eastAsia" w:ascii="宋体" w:hAnsi="宋体" w:cstheme="minorEastAsia"/>
                <w:b/>
                <w:bCs/>
                <w:color w:val="000000" w:themeColor="text1"/>
                <w:szCs w:val="21"/>
                <w14:textFill>
                  <w14:solidFill>
                    <w14:schemeClr w14:val="tx1"/>
                  </w14:solidFill>
                </w14:textFill>
              </w:rPr>
              <w:t>分）</w:t>
            </w:r>
          </w:p>
        </w:tc>
        <w:tc>
          <w:tcPr>
            <w:tcW w:w="8480" w:type="dxa"/>
            <w:shd w:val="clear"/>
            <w:vAlign w:val="center"/>
          </w:tcPr>
          <w:p w14:paraId="4F1D6ABA">
            <w:pPr>
              <w:widowControl/>
              <w:spacing w:line="360" w:lineRule="auto"/>
              <w:textAlignment w:val="center"/>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采用低价优先法计算，以满足采购文件要求且投标价格最低的投标报价为评标基准价，其价格为满分</w:t>
            </w:r>
            <w:r>
              <w:rPr>
                <w:rFonts w:hint="eastAsia" w:ascii="宋体" w:hAnsi="宋体" w:cstheme="minorEastAsia"/>
                <w:color w:val="000000" w:themeColor="text1"/>
                <w:szCs w:val="21"/>
                <w:lang w:val="en-US" w:eastAsia="zh-CN"/>
                <w14:textFill>
                  <w14:solidFill>
                    <w14:schemeClr w14:val="tx1"/>
                  </w14:solidFill>
                </w14:textFill>
              </w:rPr>
              <w:t>30</w:t>
            </w:r>
            <w:r>
              <w:rPr>
                <w:rFonts w:hint="eastAsia" w:ascii="宋体" w:hAnsi="宋体" w:cstheme="minorEastAsia"/>
                <w:color w:val="000000" w:themeColor="text1"/>
                <w:szCs w:val="21"/>
                <w14:textFill>
                  <w14:solidFill>
                    <w14:schemeClr w14:val="tx1"/>
                  </w14:solidFill>
                </w14:textFill>
              </w:rPr>
              <w:t>分。其他投标人的价格分统一按照下列公式计算：投标报价得分＝（评标基准价/投标报价）×</w:t>
            </w:r>
            <w:r>
              <w:rPr>
                <w:rFonts w:hint="eastAsia" w:ascii="宋体" w:hAnsi="宋体" w:cstheme="minorEastAsia"/>
                <w:color w:val="000000" w:themeColor="text1"/>
                <w:szCs w:val="21"/>
                <w:lang w:val="en-US" w:eastAsia="zh-CN"/>
                <w14:textFill>
                  <w14:solidFill>
                    <w14:schemeClr w14:val="tx1"/>
                  </w14:solidFill>
                </w14:textFill>
              </w:rPr>
              <w:t>3</w:t>
            </w:r>
            <w:r>
              <w:rPr>
                <w:rFonts w:ascii="宋体" w:hAnsi="宋体" w:cstheme="minorEastAsia"/>
                <w:color w:val="000000" w:themeColor="text1"/>
                <w:szCs w:val="21"/>
                <w14:textFill>
                  <w14:solidFill>
                    <w14:schemeClr w14:val="tx1"/>
                  </w14:solidFill>
                </w14:textFill>
              </w:rPr>
              <w:t>0</w:t>
            </w:r>
            <w:r>
              <w:rPr>
                <w:rFonts w:hint="eastAsia" w:ascii="宋体" w:hAnsi="宋体" w:cstheme="minorEastAsia"/>
                <w:color w:val="000000" w:themeColor="text1"/>
                <w:szCs w:val="21"/>
                <w14:textFill>
                  <w14:solidFill>
                    <w14:schemeClr w14:val="tx1"/>
                  </w14:solidFill>
                </w14:textFill>
              </w:rPr>
              <w:t>×100%。（保留两位小数）</w:t>
            </w:r>
          </w:p>
          <w:p w14:paraId="5ACDF9B2">
            <w:pPr>
              <w:snapToGrid w:val="0"/>
              <w:spacing w:line="360" w:lineRule="auto"/>
              <w:rPr>
                <w:rFonts w:ascii="宋体" w:hAnsi="宋体" w:eastAsia="宋体" w:cstheme="minorEastAsia"/>
                <w:color w:val="000000" w:themeColor="text1"/>
                <w:kern w:val="2"/>
                <w:sz w:val="21"/>
                <w:szCs w:val="21"/>
                <w:lang w:val="en-US" w:eastAsia="zh-CN" w:bidi="ar-SA"/>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注：评标委员会认为投标人的报价明显低于其他通过符合性审查投标人的报价，有可能影响产品质量或者不能诚信履约的，且投标人不能在评标现场合理的时间内证明其报价合理性的，评标委员会有权将其作为无效投标处理。</w:t>
            </w:r>
          </w:p>
        </w:tc>
      </w:tr>
      <w:tr w14:paraId="19A93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4923DEA9">
            <w:pPr>
              <w:adjustRightInd w:val="0"/>
              <w:snapToGrid w:val="0"/>
              <w:spacing w:line="440" w:lineRule="exact"/>
              <w:jc w:val="center"/>
              <w:rPr>
                <w:rFonts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项目实施方案</w:t>
            </w:r>
          </w:p>
          <w:p w14:paraId="2800BE41">
            <w:pPr>
              <w:snapToGrid w:val="0"/>
              <w:spacing w:line="440" w:lineRule="exact"/>
              <w:jc w:val="center"/>
              <w:rPr>
                <w:rFonts w:ascii="宋体" w:hAnsi="宋体" w:cstheme="minorEastAsia"/>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（10分）</w:t>
            </w:r>
          </w:p>
        </w:tc>
        <w:tc>
          <w:tcPr>
            <w:tcW w:w="8480" w:type="dxa"/>
          </w:tcPr>
          <w:p w14:paraId="66684BE5">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投标人提供详细的项目分析，项目价格应包含各构成部分，如人员费、设备更换数量、单价、配件来源等，充分体现项目实施的依据和合理性。</w:t>
            </w:r>
          </w:p>
          <w:p w14:paraId="75047D6D">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1、方案科学、严密、合理，描述详细且具有针对性的得10分；</w:t>
            </w:r>
          </w:p>
          <w:p w14:paraId="2D75E2E8">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2、方案较科学、严密、合理，描述较详细，较有针对性的得7分；</w:t>
            </w:r>
          </w:p>
          <w:p w14:paraId="34348AED">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3、方案基本科学、严密、合理，描述基本详细，基本有针对性的得4分；</w:t>
            </w:r>
          </w:p>
          <w:p w14:paraId="098DC95F">
            <w:pPr>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4、方案不科学、严密、合理，描述不详细，无针对性的得1分；</w:t>
            </w:r>
          </w:p>
          <w:p w14:paraId="2DE30B3D">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5、其他不得分。</w:t>
            </w:r>
          </w:p>
        </w:tc>
      </w:tr>
      <w:tr w14:paraId="0379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3555D996">
            <w:pPr>
              <w:adjustRightInd w:val="0"/>
              <w:snapToGrid w:val="0"/>
              <w:spacing w:line="440" w:lineRule="exact"/>
              <w:jc w:val="center"/>
              <w:rPr>
                <w:rFonts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日常服务方案</w:t>
            </w:r>
          </w:p>
          <w:p w14:paraId="005D719F">
            <w:pPr>
              <w:snapToGrid w:val="0"/>
              <w:spacing w:line="440" w:lineRule="exact"/>
              <w:jc w:val="center"/>
              <w:rPr>
                <w:rFonts w:ascii="宋体" w:hAnsi="宋体" w:cstheme="minorEastAsia"/>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（10分）</w:t>
            </w:r>
          </w:p>
        </w:tc>
        <w:tc>
          <w:tcPr>
            <w:tcW w:w="8480" w:type="dxa"/>
          </w:tcPr>
          <w:p w14:paraId="3FD5C148">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投标人提供详细的日常服务方案，包含驻场服务人员、项目配套服务人员的简介和客户满意度评价、售后服务方案、服务质量保证材料与措施、培训计划等，重点体现投标人服务能力。</w:t>
            </w:r>
          </w:p>
          <w:p w14:paraId="34B3D9DC">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1、方案科学、严密、合理，描述详细且具有针对性的得</w:t>
            </w:r>
            <w:r>
              <w:rPr>
                <w:rFonts w:ascii="宋体" w:hAnsi="宋体" w:cstheme="minorEastAsia"/>
                <w:color w:val="000000" w:themeColor="text1"/>
                <w:szCs w:val="21"/>
                <w14:textFill>
                  <w14:solidFill>
                    <w14:schemeClr w14:val="tx1"/>
                  </w14:solidFill>
                </w14:textFill>
              </w:rPr>
              <w:t>1</w:t>
            </w:r>
            <w:r>
              <w:rPr>
                <w:rFonts w:hint="eastAsia" w:ascii="宋体" w:hAnsi="宋体" w:cstheme="minorEastAsia"/>
                <w:color w:val="000000" w:themeColor="text1"/>
                <w:szCs w:val="21"/>
                <w14:textFill>
                  <w14:solidFill>
                    <w14:schemeClr w14:val="tx1"/>
                  </w14:solidFill>
                </w14:textFill>
              </w:rPr>
              <w:t>0分；</w:t>
            </w:r>
          </w:p>
          <w:p w14:paraId="541D277A">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2、方案较科学、严密、合理，描述较详细，较有针对性的得7分；</w:t>
            </w:r>
          </w:p>
          <w:p w14:paraId="61661D9B">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3、方案基本科学、严密、合理，描述基本详细，基本有针对性的得4分；</w:t>
            </w:r>
          </w:p>
          <w:p w14:paraId="795304A4">
            <w:pPr>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4、方案不科学、严密、合理，描述不详细，无针对性的得1分；</w:t>
            </w:r>
          </w:p>
          <w:p w14:paraId="2134F9D6">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5、其他不得分。</w:t>
            </w:r>
          </w:p>
        </w:tc>
      </w:tr>
      <w:tr w14:paraId="4358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2A0E6C0B">
            <w:pPr>
              <w:adjustRightInd w:val="0"/>
              <w:snapToGrid w:val="0"/>
              <w:spacing w:line="440" w:lineRule="exact"/>
              <w:jc w:val="center"/>
              <w:rPr>
                <w:rFonts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应急服务方案</w:t>
            </w:r>
          </w:p>
          <w:p w14:paraId="67CAC9C6">
            <w:pPr>
              <w:adjustRightInd w:val="0"/>
              <w:snapToGrid w:val="0"/>
              <w:spacing w:line="440" w:lineRule="exact"/>
              <w:jc w:val="center"/>
              <w:rPr>
                <w:rFonts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（10分）</w:t>
            </w:r>
          </w:p>
        </w:tc>
        <w:tc>
          <w:tcPr>
            <w:tcW w:w="8480" w:type="dxa"/>
          </w:tcPr>
          <w:p w14:paraId="70021F7B">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投标人针对突发事件或者特殊时段（深夜或者节假日）提供应急服务方案，包括响应时间、应急服务团队、备品备件等。</w:t>
            </w:r>
          </w:p>
          <w:p w14:paraId="43C0DA69">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1、方案科学、严密、合理，描述详细，具有针对性的得10分；</w:t>
            </w:r>
          </w:p>
          <w:p w14:paraId="7B25CBFA">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2、方案较科学、严密、合理，描述清楚，，较有针对性的得7分；</w:t>
            </w:r>
          </w:p>
          <w:p w14:paraId="7E50E979">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3、方案基本科学、严密、合理，描述基本详细，基本有针对性的得4分；</w:t>
            </w:r>
          </w:p>
          <w:p w14:paraId="01026C28">
            <w:pPr>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4、方案不科学、严密、合理，描述不详细，无针对性的得1分；</w:t>
            </w:r>
          </w:p>
          <w:p w14:paraId="4E5A0443">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5、其他不得分。</w:t>
            </w:r>
          </w:p>
        </w:tc>
      </w:tr>
      <w:tr w14:paraId="1C43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4E087B23">
            <w:pPr>
              <w:adjustRightInd w:val="0"/>
              <w:snapToGrid w:val="0"/>
              <w:spacing w:line="440" w:lineRule="exact"/>
              <w:jc w:val="center"/>
              <w:rPr>
                <w:rFonts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巡检服务方案</w:t>
            </w:r>
          </w:p>
          <w:p w14:paraId="525E6E8A">
            <w:pPr>
              <w:adjustRightInd w:val="0"/>
              <w:snapToGrid w:val="0"/>
              <w:spacing w:line="440" w:lineRule="exact"/>
              <w:jc w:val="center"/>
              <w:rPr>
                <w:rFonts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（8分）</w:t>
            </w:r>
          </w:p>
        </w:tc>
        <w:tc>
          <w:tcPr>
            <w:tcW w:w="8480" w:type="dxa"/>
          </w:tcPr>
          <w:p w14:paraId="3C960FA5">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投标人提供详细的巡检服务方案，包括定期和非定期巡检方案、巡检日志、归档管理制度。</w:t>
            </w:r>
          </w:p>
          <w:p w14:paraId="5856526D">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1、方案科学、严密、合理，描述详细且具有针对性的得8分；</w:t>
            </w:r>
          </w:p>
          <w:p w14:paraId="40CA45F6">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2、方案较科学、严密、合理，描述较详细，较有针对性的得5分；</w:t>
            </w:r>
          </w:p>
          <w:p w14:paraId="3038F593">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3、方案基本科学、严密、合理，描述基本详细，基本有针对性的得3分；</w:t>
            </w:r>
          </w:p>
          <w:p w14:paraId="67E05DF5">
            <w:pPr>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4、方案不科学、严密、合理，描述不详细，无针对性的得1分；</w:t>
            </w:r>
          </w:p>
          <w:p w14:paraId="40031AD4">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5、其他不得分。</w:t>
            </w:r>
          </w:p>
        </w:tc>
      </w:tr>
      <w:tr w14:paraId="35A79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2228E46E">
            <w:pPr>
              <w:adjustRightInd w:val="0"/>
              <w:snapToGrid w:val="0"/>
              <w:spacing w:line="440" w:lineRule="exact"/>
              <w:jc w:val="center"/>
              <w:rPr>
                <w:rFonts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管理报告</w:t>
            </w:r>
          </w:p>
          <w:p w14:paraId="0F20E0F7">
            <w:pPr>
              <w:adjustRightInd w:val="0"/>
              <w:snapToGrid w:val="0"/>
              <w:spacing w:line="440" w:lineRule="exact"/>
              <w:jc w:val="center"/>
              <w:rPr>
                <w:rFonts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（6分）</w:t>
            </w:r>
          </w:p>
        </w:tc>
        <w:tc>
          <w:tcPr>
            <w:tcW w:w="8480" w:type="dxa"/>
          </w:tcPr>
          <w:p w14:paraId="21E2360F">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投标人每季度向医院管理部门提供管理报告：配件清单、耗材清单、各类问题处理、维修保养记录、改善建议等。</w:t>
            </w:r>
          </w:p>
          <w:p w14:paraId="7B8AACAD">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1、方案科学、严密、合理，描述详细且具有针对性的得6分；</w:t>
            </w:r>
          </w:p>
          <w:p w14:paraId="3F22A8A8">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2、方案较科学、严密、合理，描述较详细，较有针对性的得4分；</w:t>
            </w:r>
          </w:p>
          <w:p w14:paraId="2804F431">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3、方案基本科学、严密、合理，描述基本详细，基本有针对性的得2分；</w:t>
            </w:r>
          </w:p>
          <w:p w14:paraId="5ACB037B">
            <w:pPr>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4、方案不科学、严密、合理，描述不详细，无针对性的得1分；</w:t>
            </w:r>
          </w:p>
          <w:p w14:paraId="788DAE81">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5、其他不得分。</w:t>
            </w:r>
          </w:p>
        </w:tc>
      </w:tr>
      <w:tr w14:paraId="51E5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shd w:val="clear"/>
            <w:vAlign w:val="center"/>
          </w:tcPr>
          <w:p w14:paraId="5B749351">
            <w:pPr>
              <w:snapToGrid w:val="0"/>
              <w:spacing w:line="440" w:lineRule="exact"/>
              <w:jc w:val="center"/>
              <w:rPr>
                <w:rFonts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服务业绩</w:t>
            </w:r>
          </w:p>
          <w:p w14:paraId="28285B6D">
            <w:pPr>
              <w:snapToGrid w:val="0"/>
              <w:spacing w:line="440" w:lineRule="exact"/>
              <w:jc w:val="center"/>
              <w:rPr>
                <w:rFonts w:ascii="宋体" w:hAnsi="宋体" w:eastAsia="宋体" w:cstheme="minorEastAsia"/>
                <w:b/>
                <w:color w:val="000000" w:themeColor="text1"/>
                <w:kern w:val="2"/>
                <w:sz w:val="21"/>
                <w:szCs w:val="21"/>
                <w:lang w:val="en-US" w:eastAsia="zh-CN" w:bidi="ar-SA"/>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w:t>
            </w:r>
            <w:r>
              <w:rPr>
                <w:rFonts w:hint="eastAsia" w:ascii="宋体" w:hAnsi="宋体" w:cstheme="minorEastAsia"/>
                <w:b/>
                <w:color w:val="000000" w:themeColor="text1"/>
                <w:szCs w:val="21"/>
                <w:lang w:val="en-US" w:eastAsia="zh-CN"/>
                <w14:textFill>
                  <w14:solidFill>
                    <w14:schemeClr w14:val="tx1"/>
                  </w14:solidFill>
                </w14:textFill>
              </w:rPr>
              <w:t>10</w:t>
            </w:r>
            <w:r>
              <w:rPr>
                <w:rFonts w:hint="eastAsia" w:ascii="宋体" w:hAnsi="宋体" w:cstheme="minorEastAsia"/>
                <w:b/>
                <w:color w:val="000000" w:themeColor="text1"/>
                <w:szCs w:val="21"/>
                <w14:textFill>
                  <w14:solidFill>
                    <w14:schemeClr w14:val="tx1"/>
                  </w14:solidFill>
                </w14:textFill>
              </w:rPr>
              <w:t>分）</w:t>
            </w:r>
          </w:p>
        </w:tc>
        <w:tc>
          <w:tcPr>
            <w:tcW w:w="8480" w:type="dxa"/>
            <w:shd w:val="clear"/>
            <w:vAlign w:val="top"/>
          </w:tcPr>
          <w:p w14:paraId="4464B3A7">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自2023年1月1日至今（以合同签订日期为准），投标人具有类似项目业绩的，每提供1份得2分，满分</w:t>
            </w:r>
            <w:r>
              <w:rPr>
                <w:rFonts w:hint="eastAsia" w:ascii="宋体" w:hAnsi="宋体" w:cstheme="minorEastAsia"/>
                <w:color w:val="000000" w:themeColor="text1"/>
                <w:szCs w:val="21"/>
                <w:lang w:val="en-US" w:eastAsia="zh-CN"/>
                <w14:textFill>
                  <w14:solidFill>
                    <w14:schemeClr w14:val="tx1"/>
                  </w14:solidFill>
                </w14:textFill>
              </w:rPr>
              <w:t>10</w:t>
            </w:r>
            <w:r>
              <w:rPr>
                <w:rFonts w:hint="eastAsia" w:ascii="宋体" w:hAnsi="宋体" w:cstheme="minorEastAsia"/>
                <w:color w:val="000000" w:themeColor="text1"/>
                <w:szCs w:val="21"/>
                <w14:textFill>
                  <w14:solidFill>
                    <w14:schemeClr w14:val="tx1"/>
                  </w14:solidFill>
                </w14:textFill>
              </w:rPr>
              <w:t>分；（</w:t>
            </w:r>
            <w:r>
              <w:rPr>
                <w:rFonts w:hint="eastAsia" w:ascii="宋体" w:hAnsi="宋体"/>
                <w:color w:val="000000" w:themeColor="text1"/>
                <w:szCs w:val="21"/>
                <w:u w:val="single"/>
                <w14:textFill>
                  <w14:solidFill>
                    <w14:schemeClr w14:val="tx1"/>
                  </w14:solidFill>
                </w14:textFill>
              </w:rPr>
              <w:t>自助机、多功能报告机、报到机、候诊屏、诊间屏</w:t>
            </w:r>
            <w:r>
              <w:rPr>
                <w:rFonts w:hint="eastAsia" w:ascii="宋体" w:hAnsi="宋体" w:cstheme="minorEastAsia"/>
                <w:color w:val="000000" w:themeColor="text1"/>
                <w:szCs w:val="21"/>
                <w14:textFill>
                  <w14:solidFill>
                    <w14:schemeClr w14:val="tx1"/>
                  </w14:solidFill>
                </w14:textFill>
              </w:rPr>
              <w:t xml:space="preserve"> 等相类似业绩，每一类最多计4分）</w:t>
            </w:r>
          </w:p>
          <w:p w14:paraId="79099ED4">
            <w:pPr>
              <w:snapToGrid w:val="0"/>
              <w:spacing w:line="440" w:lineRule="exact"/>
              <w:rPr>
                <w:rFonts w:ascii="宋体" w:hAnsi="宋体" w:eastAsia="宋体" w:cstheme="minorEastAsia"/>
                <w:color w:val="000000" w:themeColor="text1"/>
                <w:kern w:val="2"/>
                <w:sz w:val="21"/>
                <w:szCs w:val="21"/>
                <w:lang w:val="en-US" w:eastAsia="zh-CN" w:bidi="ar-SA"/>
                <w14:textFill>
                  <w14:solidFill>
                    <w14:schemeClr w14:val="tx1"/>
                  </w14:solidFill>
                </w14:textFill>
              </w:rPr>
            </w:pPr>
            <w:r>
              <w:rPr>
                <w:rFonts w:hint="eastAsia" w:ascii="宋体" w:hAnsi="宋体" w:cstheme="minorEastAsia"/>
                <w:b/>
                <w:bCs/>
                <w:color w:val="000000" w:themeColor="text1"/>
                <w:szCs w:val="21"/>
                <w14:textFill>
                  <w14:solidFill>
                    <w14:schemeClr w14:val="tx1"/>
                  </w14:solidFill>
                </w14:textFill>
              </w:rPr>
              <w:t>注：各供应商</w:t>
            </w:r>
            <w:r>
              <w:rPr>
                <w:rFonts w:hint="eastAsia" w:ascii="宋体" w:hAnsi="宋体" w:cstheme="minorEastAsia"/>
                <w:b/>
                <w:color w:val="000000" w:themeColor="text1"/>
                <w:szCs w:val="21"/>
                <w14:textFill>
                  <w14:solidFill>
                    <w14:schemeClr w14:val="tx1"/>
                  </w14:solidFill>
                </w14:textFill>
              </w:rPr>
              <w:t>须</w:t>
            </w:r>
            <w:r>
              <w:rPr>
                <w:rFonts w:hint="eastAsia" w:ascii="宋体" w:hAnsi="宋体" w:cstheme="minorEastAsia"/>
                <w:b/>
                <w:bCs/>
                <w:color w:val="000000" w:themeColor="text1"/>
                <w:szCs w:val="21"/>
                <w14:textFill>
                  <w14:solidFill>
                    <w14:schemeClr w14:val="tx1"/>
                  </w14:solidFill>
                </w14:textFill>
              </w:rPr>
              <w:t>提供合同复印件和对应的发票复印件加盖投标人公章，原件备查，无原件不得分。</w:t>
            </w:r>
          </w:p>
        </w:tc>
      </w:tr>
      <w:tr w14:paraId="47EA4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shd w:val="clear"/>
            <w:vAlign w:val="center"/>
          </w:tcPr>
          <w:p w14:paraId="2BC8EBC1">
            <w:pPr>
              <w:snapToGrid w:val="0"/>
              <w:spacing w:line="440" w:lineRule="exact"/>
              <w:jc w:val="center"/>
              <w:rPr>
                <w:rFonts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企业实力</w:t>
            </w:r>
          </w:p>
          <w:p w14:paraId="4860A9AB">
            <w:pPr>
              <w:snapToGrid w:val="0"/>
              <w:spacing w:line="440" w:lineRule="exact"/>
              <w:jc w:val="center"/>
              <w:rPr>
                <w:rFonts w:ascii="宋体" w:hAnsi="宋体" w:eastAsia="宋体" w:cstheme="minorEastAsia"/>
                <w:color w:val="000000" w:themeColor="text1"/>
                <w:kern w:val="2"/>
                <w:sz w:val="21"/>
                <w:szCs w:val="21"/>
                <w:lang w:val="en-US" w:eastAsia="zh-CN" w:bidi="ar-SA"/>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w:t>
            </w:r>
            <w:r>
              <w:rPr>
                <w:rFonts w:hint="eastAsia" w:ascii="宋体" w:hAnsi="宋体" w:cstheme="minorEastAsia"/>
                <w:b/>
                <w:color w:val="000000" w:themeColor="text1"/>
                <w:szCs w:val="21"/>
                <w:lang w:val="en-US" w:eastAsia="zh-CN"/>
                <w14:textFill>
                  <w14:solidFill>
                    <w14:schemeClr w14:val="tx1"/>
                  </w14:solidFill>
                </w14:textFill>
              </w:rPr>
              <w:t>16</w:t>
            </w:r>
            <w:r>
              <w:rPr>
                <w:rFonts w:hint="eastAsia" w:ascii="宋体" w:hAnsi="宋体" w:cstheme="minorEastAsia"/>
                <w:b/>
                <w:color w:val="000000" w:themeColor="text1"/>
                <w:szCs w:val="21"/>
                <w14:textFill>
                  <w14:solidFill>
                    <w14:schemeClr w14:val="tx1"/>
                  </w14:solidFill>
                </w14:textFill>
              </w:rPr>
              <w:t>分）</w:t>
            </w:r>
          </w:p>
        </w:tc>
        <w:tc>
          <w:tcPr>
            <w:tcW w:w="8480" w:type="dxa"/>
            <w:shd w:val="clear"/>
            <w:vAlign w:val="top"/>
          </w:tcPr>
          <w:p w14:paraId="44DD2E50">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1、投标人具有ITSS运行维护三级及以上认证证书、信息安全管理体系认证证书、</w:t>
            </w:r>
            <w:r>
              <w:rPr>
                <w:rFonts w:hint="eastAsia" w:ascii="宋体" w:hAnsi="宋体" w:cs="宋体"/>
                <w:color w:val="000000"/>
                <w:kern w:val="0"/>
                <w:szCs w:val="21"/>
              </w:rPr>
              <w:t>职业健康安全管理体系认证证书、</w:t>
            </w:r>
            <w:r>
              <w:rPr>
                <w:rFonts w:hint="eastAsia" w:ascii="宋体" w:hAnsi="宋体" w:cstheme="minorEastAsia"/>
                <w:color w:val="000000" w:themeColor="text1"/>
                <w:szCs w:val="21"/>
                <w14:textFill>
                  <w14:solidFill>
                    <w14:schemeClr w14:val="tx1"/>
                  </w14:solidFill>
                </w14:textFill>
              </w:rPr>
              <w:t>五星服务认证证书</w:t>
            </w:r>
            <w:r>
              <w:rPr>
                <w:rFonts w:hint="eastAsia" w:ascii="宋体" w:hAnsi="宋体" w:cs="宋体"/>
                <w:color w:val="000000"/>
                <w:kern w:val="0"/>
                <w:szCs w:val="21"/>
              </w:rPr>
              <w:t>信息、信息技术服务管理体系认证证书</w:t>
            </w:r>
            <w:r>
              <w:rPr>
                <w:rFonts w:hint="eastAsia" w:ascii="宋体" w:hAnsi="宋体" w:cstheme="minorEastAsia"/>
                <w:color w:val="000000" w:themeColor="text1"/>
                <w:szCs w:val="21"/>
                <w14:textFill>
                  <w14:solidFill>
                    <w14:schemeClr w14:val="tx1"/>
                  </w14:solidFill>
                </w14:textFill>
              </w:rPr>
              <w:t>的，每提供一份有效期内的证书得</w:t>
            </w:r>
            <w:r>
              <w:rPr>
                <w:rFonts w:hint="eastAsia" w:ascii="宋体" w:hAnsi="宋体" w:cstheme="minorEastAsia"/>
                <w:color w:val="000000" w:themeColor="text1"/>
                <w:szCs w:val="21"/>
                <w:lang w:val="en-US" w:eastAsia="zh-CN"/>
                <w14:textFill>
                  <w14:solidFill>
                    <w14:schemeClr w14:val="tx1"/>
                  </w14:solidFill>
                </w14:textFill>
              </w:rPr>
              <w:t>2</w:t>
            </w:r>
            <w:r>
              <w:rPr>
                <w:rFonts w:hint="eastAsia" w:ascii="宋体" w:hAnsi="宋体" w:cstheme="minorEastAsia"/>
                <w:color w:val="000000" w:themeColor="text1"/>
                <w:szCs w:val="21"/>
                <w14:textFill>
                  <w14:solidFill>
                    <w14:schemeClr w14:val="tx1"/>
                  </w14:solidFill>
                </w14:textFill>
              </w:rPr>
              <w:t>分，满分</w:t>
            </w:r>
            <w:r>
              <w:rPr>
                <w:rFonts w:hint="eastAsia" w:ascii="宋体" w:hAnsi="宋体" w:cstheme="minorEastAsia"/>
                <w:color w:val="000000" w:themeColor="text1"/>
                <w:szCs w:val="21"/>
                <w:lang w:val="en-US" w:eastAsia="zh-CN"/>
                <w14:textFill>
                  <w14:solidFill>
                    <w14:schemeClr w14:val="tx1"/>
                  </w14:solidFill>
                </w14:textFill>
              </w:rPr>
              <w:t>10</w:t>
            </w:r>
            <w:r>
              <w:rPr>
                <w:rFonts w:hint="eastAsia" w:ascii="宋体" w:hAnsi="宋体" w:cstheme="minorEastAsia"/>
                <w:color w:val="000000" w:themeColor="text1"/>
                <w:szCs w:val="21"/>
                <w14:textFill>
                  <w14:solidFill>
                    <w14:schemeClr w14:val="tx1"/>
                  </w14:solidFill>
                </w14:textFill>
              </w:rPr>
              <w:t>分；</w:t>
            </w:r>
          </w:p>
          <w:p w14:paraId="779AEAA6">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2、投标人拟派本项目组成员中具有PMP项目管理师证书或者ITSS项目经理证书的，每提供一份有效证书得</w:t>
            </w:r>
            <w:r>
              <w:rPr>
                <w:rFonts w:hint="eastAsia" w:ascii="宋体" w:hAnsi="宋体" w:cstheme="minorEastAsia"/>
                <w:color w:val="000000" w:themeColor="text1"/>
                <w:szCs w:val="21"/>
                <w:lang w:val="en-US" w:eastAsia="zh-CN"/>
                <w14:textFill>
                  <w14:solidFill>
                    <w14:schemeClr w14:val="tx1"/>
                  </w14:solidFill>
                </w14:textFill>
              </w:rPr>
              <w:t>2</w:t>
            </w:r>
            <w:r>
              <w:rPr>
                <w:rFonts w:hint="eastAsia" w:ascii="宋体" w:hAnsi="宋体" w:cstheme="minorEastAsia"/>
                <w:color w:val="000000" w:themeColor="text1"/>
                <w:szCs w:val="21"/>
                <w14:textFill>
                  <w14:solidFill>
                    <w14:schemeClr w14:val="tx1"/>
                  </w14:solidFill>
                </w14:textFill>
              </w:rPr>
              <w:t>分，满分</w:t>
            </w:r>
            <w:r>
              <w:rPr>
                <w:rFonts w:hint="eastAsia" w:ascii="宋体" w:hAnsi="宋体" w:cstheme="minorEastAsia"/>
                <w:color w:val="000000" w:themeColor="text1"/>
                <w:szCs w:val="21"/>
                <w:lang w:val="en-US" w:eastAsia="zh-CN"/>
                <w14:textFill>
                  <w14:solidFill>
                    <w14:schemeClr w14:val="tx1"/>
                  </w14:solidFill>
                </w14:textFill>
              </w:rPr>
              <w:t>4</w:t>
            </w:r>
            <w:r>
              <w:rPr>
                <w:rFonts w:hint="eastAsia" w:ascii="宋体" w:hAnsi="宋体" w:cstheme="minorEastAsia"/>
                <w:color w:val="000000" w:themeColor="text1"/>
                <w:szCs w:val="21"/>
                <w14:textFill>
                  <w14:solidFill>
                    <w14:schemeClr w14:val="tx1"/>
                  </w14:solidFill>
                </w14:textFill>
              </w:rPr>
              <w:t>分。</w:t>
            </w:r>
          </w:p>
          <w:p w14:paraId="4240B72F">
            <w:pPr>
              <w:pStyle w:val="65"/>
              <w:ind w:firstLine="0"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3、投标人具有自主IT运维管理工具软件的（至少包括扫码报修、终端地理位置显示、满意度评价等功能），提供一份有效软件著作权证书，得</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分，满分</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分。</w:t>
            </w:r>
          </w:p>
          <w:p w14:paraId="1D371C2B">
            <w:pPr>
              <w:spacing w:line="440" w:lineRule="exact"/>
              <w:rPr>
                <w:rFonts w:ascii="宋体" w:hAnsi="宋体" w:eastAsia="宋体" w:cstheme="minorEastAsia"/>
                <w:b/>
                <w:color w:val="000000" w:themeColor="text1"/>
                <w:kern w:val="2"/>
                <w:sz w:val="21"/>
                <w:szCs w:val="21"/>
                <w:lang w:val="en-US" w:eastAsia="zh-CN" w:bidi="ar-SA"/>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注：1、各供应商须提供有效证书或相关证明材料复印件加盖供应商公章，原件备查</w:t>
            </w:r>
            <w:r>
              <w:rPr>
                <w:rFonts w:hint="eastAsia" w:ascii="宋体" w:hAnsi="宋体" w:cstheme="minorEastAsia"/>
                <w:b/>
                <w:bCs/>
                <w:color w:val="000000" w:themeColor="text1"/>
                <w:szCs w:val="21"/>
                <w14:textFill>
                  <w14:solidFill>
                    <w14:schemeClr w14:val="tx1"/>
                  </w14:solidFill>
                </w14:textFill>
              </w:rPr>
              <w:t>，无原件不得分。</w:t>
            </w:r>
            <w:r>
              <w:rPr>
                <w:rFonts w:hint="eastAsia" w:ascii="宋体" w:hAnsi="宋体" w:cstheme="minorEastAsia"/>
                <w:b/>
                <w:color w:val="000000" w:themeColor="text1"/>
                <w:kern w:val="0"/>
                <w:szCs w:val="21"/>
                <w14:textFill>
                  <w14:solidFill>
                    <w14:schemeClr w14:val="tx1"/>
                  </w14:solidFill>
                </w14:textFill>
              </w:rPr>
              <w:t>2、供应商提供上述第2项拟投入人员的相关证书，同时需提供供应商为该服务人员缴纳的近三个月任意一个月的社保证明材料）</w:t>
            </w:r>
          </w:p>
        </w:tc>
      </w:tr>
    </w:tbl>
    <w:p w14:paraId="42D7BB0C">
      <w:pPr>
        <w:rPr>
          <w:rFonts w:ascii="宋体" w:hAnsi="宋体"/>
          <w:color w:val="000000" w:themeColor="text1"/>
          <w14:textFill>
            <w14:solidFill>
              <w14:schemeClr w14:val="tx1"/>
            </w14:solidFill>
          </w14:textFill>
        </w:rPr>
      </w:pPr>
    </w:p>
    <w:p w14:paraId="18163DF0">
      <w:pPr>
        <w:pStyle w:val="65"/>
        <w:ind w:firstLine="0" w:firstLineChars="0"/>
        <w:rPr>
          <w:rFonts w:ascii="宋体" w:hAnsi="宋体"/>
          <w:b/>
          <w:color w:val="000000" w:themeColor="text1"/>
          <w14:textFill>
            <w14:solidFill>
              <w14:schemeClr w14:val="tx1"/>
            </w14:solidFill>
          </w14:textFill>
        </w:rPr>
      </w:pPr>
    </w:p>
    <w:p w14:paraId="2852F05D">
      <w:pPr>
        <w:rPr>
          <w:rFonts w:ascii="宋体" w:hAnsi="宋体"/>
          <w:color w:val="000000" w:themeColor="text1"/>
          <w14:textFill>
            <w14:solidFill>
              <w14:schemeClr w14:val="tx1"/>
            </w14:solidFill>
          </w14:textFill>
        </w:rPr>
      </w:pPr>
      <w:bookmarkStart w:id="7" w:name="_GoBack"/>
      <w:bookmarkEnd w:id="7"/>
    </w:p>
    <w:p w14:paraId="7F9037FF">
      <w:pPr>
        <w:pStyle w:val="2"/>
      </w:pPr>
    </w:p>
    <w:p w14:paraId="5978649C">
      <w:pPr>
        <w:pStyle w:val="2"/>
      </w:pPr>
    </w:p>
    <w:p w14:paraId="7AB89BFF">
      <w:pPr>
        <w:pStyle w:val="2"/>
      </w:pPr>
    </w:p>
    <w:p w14:paraId="174571FC">
      <w:pPr>
        <w:pStyle w:val="2"/>
      </w:pPr>
    </w:p>
    <w:p w14:paraId="4B608B71">
      <w:pPr>
        <w:pStyle w:val="2"/>
        <w:rPr>
          <w:rFonts w:hint="eastAsia"/>
        </w:rPr>
      </w:pPr>
    </w:p>
    <w:p w14:paraId="45955279">
      <w:pPr>
        <w:pStyle w:val="2"/>
      </w:pPr>
    </w:p>
    <w:p w14:paraId="0CE1ABE6">
      <w:pPr>
        <w:rPr>
          <w:rFonts w:hint="eastAsia"/>
          <w:b/>
          <w:sz w:val="32"/>
          <w:szCs w:val="32"/>
        </w:rPr>
      </w:pPr>
      <w:r>
        <w:rPr>
          <w:rFonts w:hint="eastAsia"/>
          <w:b/>
          <w:sz w:val="32"/>
          <w:szCs w:val="32"/>
        </w:rPr>
        <w:br w:type="page"/>
      </w:r>
    </w:p>
    <w:p w14:paraId="56C58066">
      <w:pPr>
        <w:jc w:val="center"/>
        <w:rPr>
          <w:b/>
          <w:sz w:val="32"/>
          <w:szCs w:val="32"/>
        </w:rPr>
      </w:pPr>
      <w:r>
        <w:rPr>
          <w:rFonts w:hint="eastAsia"/>
          <w:b/>
          <w:sz w:val="32"/>
          <w:szCs w:val="32"/>
        </w:rPr>
        <w:t>三、投标人须知</w:t>
      </w:r>
      <w:bookmarkEnd w:id="2"/>
    </w:p>
    <w:p w14:paraId="71DB9ED8">
      <w:pPr>
        <w:ind w:firstLine="562" w:firstLineChars="200"/>
        <w:rPr>
          <w:b/>
          <w:sz w:val="28"/>
          <w:szCs w:val="28"/>
        </w:rPr>
      </w:pPr>
      <w:r>
        <w:rPr>
          <w:rFonts w:hint="eastAsia"/>
          <w:b/>
          <w:sz w:val="28"/>
          <w:szCs w:val="28"/>
        </w:rPr>
        <w:t>（一）编制要求</w:t>
      </w:r>
    </w:p>
    <w:p w14:paraId="1169C3DA">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1、投标人应在仔细阅读竞争性谈判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14:paraId="218B2D95">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2、投标人在收到竞争性谈判文件后，若有疑问应以书面形式（包括书面文字、传真、电子邮件等）在规定时间前向招标人提出。招标人将所有问题集中后在统一答复所有投标人。</w:t>
      </w:r>
    </w:p>
    <w:p w14:paraId="7360671F">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3、明确标明“正本”或“副本”字样，一旦正本和副本有差异，以正本为准。所有投标资料均需A4纸打印，按照竞争性谈判文件规定的顺序装订。</w:t>
      </w:r>
    </w:p>
    <w:p w14:paraId="546100BA">
      <w:pPr>
        <w:ind w:firstLine="562" w:firstLineChars="200"/>
        <w:rPr>
          <w:b/>
          <w:sz w:val="28"/>
          <w:szCs w:val="28"/>
        </w:rPr>
      </w:pPr>
      <w:bookmarkStart w:id="3" w:name="_Toc39744254"/>
      <w:r>
        <w:rPr>
          <w:rFonts w:hint="eastAsia"/>
          <w:b/>
          <w:sz w:val="28"/>
          <w:szCs w:val="28"/>
        </w:rPr>
        <w:t>（二）资格审查要求</w:t>
      </w:r>
      <w:bookmarkEnd w:id="3"/>
    </w:p>
    <w:p w14:paraId="2865D223">
      <w:pPr>
        <w:autoSpaceDE w:val="0"/>
        <w:autoSpaceDN w:val="0"/>
        <w:adjustRightInd w:val="0"/>
        <w:snapToGrid w:val="0"/>
        <w:spacing w:line="440" w:lineRule="exact"/>
        <w:ind w:left="424" w:leftChars="202" w:right="531" w:rightChars="253" w:firstLine="371" w:firstLineChars="176"/>
        <w:contextualSpacing/>
        <w:rPr>
          <w:rFonts w:ascii="宋体" w:hAnsi="宋体"/>
          <w:b/>
          <w:szCs w:val="21"/>
        </w:rPr>
      </w:pPr>
      <w:r>
        <w:rPr>
          <w:rFonts w:hint="eastAsia" w:ascii="宋体" w:hAnsi="宋体"/>
          <w:b/>
          <w:szCs w:val="21"/>
        </w:rPr>
        <w:t>1、资格审查方式为资格后审。投标</w:t>
      </w:r>
      <w:r>
        <w:rPr>
          <w:rFonts w:hint="eastAsia" w:ascii="宋体" w:hAnsi="宋体"/>
          <w:b/>
          <w:szCs w:val="21"/>
          <w:highlight w:val="none"/>
        </w:rPr>
        <w:t>截止时间</w:t>
      </w:r>
      <w:r>
        <w:rPr>
          <w:rFonts w:hint="eastAsia" w:ascii="宋体" w:hAnsi="宋体"/>
          <w:b/>
          <w:szCs w:val="21"/>
          <w:highlight w:val="none"/>
          <w:shd w:val="clear" w:fill="FFFF00"/>
        </w:rPr>
        <w:t>(202</w:t>
      </w:r>
      <w:r>
        <w:rPr>
          <w:rFonts w:ascii="宋体" w:hAnsi="宋体"/>
          <w:b/>
          <w:szCs w:val="21"/>
          <w:highlight w:val="none"/>
          <w:shd w:val="clear" w:fill="FFFF00"/>
        </w:rPr>
        <w:t>6</w:t>
      </w:r>
      <w:r>
        <w:rPr>
          <w:rFonts w:hint="eastAsia" w:ascii="宋体" w:hAnsi="宋体"/>
          <w:b/>
          <w:szCs w:val="21"/>
          <w:highlight w:val="none"/>
          <w:shd w:val="clear" w:fill="FFFF00"/>
        </w:rPr>
        <w:t>年</w:t>
      </w:r>
      <w:r>
        <w:rPr>
          <w:rFonts w:hint="eastAsia" w:ascii="宋体" w:hAnsi="宋体"/>
          <w:b/>
          <w:szCs w:val="21"/>
          <w:highlight w:val="none"/>
          <w:shd w:val="clear" w:fill="FFFF00"/>
          <w:lang w:val="en-US" w:eastAsia="zh-CN"/>
        </w:rPr>
        <w:t>6</w:t>
      </w:r>
      <w:r>
        <w:rPr>
          <w:rFonts w:hint="eastAsia" w:ascii="宋体" w:hAnsi="宋体"/>
          <w:b/>
          <w:szCs w:val="21"/>
          <w:highlight w:val="none"/>
          <w:shd w:val="clear" w:fill="FFFF00"/>
        </w:rPr>
        <w:t>月</w:t>
      </w:r>
      <w:r>
        <w:rPr>
          <w:rFonts w:hint="eastAsia" w:ascii="宋体" w:hAnsi="宋体"/>
          <w:b/>
          <w:szCs w:val="21"/>
          <w:highlight w:val="none"/>
          <w:shd w:val="clear" w:fill="FFFF00"/>
          <w:lang w:val="en-US" w:eastAsia="zh-CN"/>
        </w:rPr>
        <w:t>7</w:t>
      </w:r>
      <w:r>
        <w:rPr>
          <w:rFonts w:hint="eastAsia" w:ascii="宋体" w:hAnsi="宋体"/>
          <w:b/>
          <w:szCs w:val="21"/>
          <w:highlight w:val="none"/>
          <w:shd w:val="clear" w:fill="FFFF00"/>
        </w:rPr>
        <w:t>日17：00)前</w:t>
      </w:r>
      <w:r>
        <w:rPr>
          <w:rFonts w:hint="eastAsia" w:ascii="宋体" w:hAnsi="宋体"/>
          <w:b/>
          <w:szCs w:val="21"/>
          <w:highlight w:val="none"/>
        </w:rPr>
        <w:t>须向招标人</w:t>
      </w:r>
      <w:r>
        <w:rPr>
          <w:rFonts w:hint="eastAsia" w:ascii="宋体" w:hAnsi="宋体"/>
          <w:b/>
          <w:szCs w:val="21"/>
        </w:rPr>
        <w:t>提供书面法人授权委托书，该授权委托代理为该项目指定联系人。</w:t>
      </w:r>
    </w:p>
    <w:p w14:paraId="653B5823">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投标人资质要求</w:t>
      </w:r>
    </w:p>
    <w:p w14:paraId="30B1253C">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1 投标人要求</w:t>
      </w:r>
    </w:p>
    <w:p w14:paraId="16EE4591">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投标人必须是具有独立法人资格的公司</w:t>
      </w:r>
      <w:r>
        <w:rPr>
          <w:rFonts w:ascii="宋体" w:hAnsi="宋体"/>
          <w:szCs w:val="21"/>
        </w:rPr>
        <w:t>。</w:t>
      </w:r>
    </w:p>
    <w:p w14:paraId="4DEF8C30">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2 承担本项目能力和资格的有关资格证明材料</w:t>
      </w:r>
    </w:p>
    <w:p w14:paraId="79E1F655">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1) 由工商局签发的投标人工商营业执照副本复印件（加盖公章）；</w:t>
      </w:r>
    </w:p>
    <w:p w14:paraId="6CB42678">
      <w:pPr>
        <w:tabs>
          <w:tab w:val="left" w:pos="9214"/>
        </w:tabs>
        <w:adjustRightInd w:val="0"/>
        <w:snapToGrid w:val="0"/>
        <w:spacing w:line="440" w:lineRule="exact"/>
        <w:ind w:left="424" w:leftChars="202" w:right="531" w:rightChars="253" w:firstLine="371" w:firstLineChars="177"/>
        <w:contextualSpacing/>
        <w:rPr>
          <w:rFonts w:hint="eastAsia" w:ascii="宋体" w:hAnsi="宋体" w:eastAsia="宋体"/>
          <w:szCs w:val="21"/>
          <w:lang w:eastAsia="zh-CN"/>
        </w:rPr>
      </w:pPr>
      <w:r>
        <w:rPr>
          <w:rFonts w:ascii="宋体" w:hAnsi="宋体"/>
          <w:szCs w:val="21"/>
        </w:rPr>
        <w:t>2) 投标人各类资质证书材料复印件（加盖公章）</w:t>
      </w:r>
      <w:r>
        <w:rPr>
          <w:rFonts w:hint="eastAsia" w:ascii="宋体" w:hAnsi="宋体"/>
          <w:szCs w:val="21"/>
          <w:lang w:eastAsia="zh-CN"/>
        </w:rPr>
        <w:t>；</w:t>
      </w:r>
    </w:p>
    <w:p w14:paraId="5634B2B8">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3) 投标方需具备足够资质的产品技术开发队伍；产品比较成熟和较强扩展性，具备长期合作的可能；</w:t>
      </w:r>
    </w:p>
    <w:p w14:paraId="3EB910B0">
      <w:pPr>
        <w:tabs>
          <w:tab w:val="left" w:pos="9214"/>
        </w:tabs>
        <w:adjustRightInd w:val="0"/>
        <w:snapToGrid w:val="0"/>
        <w:spacing w:line="440" w:lineRule="exact"/>
        <w:ind w:left="424" w:leftChars="202" w:right="531" w:rightChars="253" w:firstLine="371" w:firstLineChars="177"/>
        <w:contextualSpacing/>
        <w:rPr>
          <w:rFonts w:hint="eastAsia" w:ascii="宋体" w:hAnsi="宋体" w:eastAsia="宋体"/>
          <w:szCs w:val="21"/>
          <w:lang w:eastAsia="zh-CN"/>
        </w:rPr>
      </w:pPr>
      <w:r>
        <w:rPr>
          <w:rFonts w:ascii="宋体" w:hAnsi="宋体"/>
          <w:szCs w:val="21"/>
        </w:rPr>
        <w:t>4) 实施交付能力：投标方必须具备实施开发项目和提供后续服务的能力，且提供必要的使用、配置、系统集成及二次开发培训等相应的知识转移服务</w:t>
      </w:r>
      <w:r>
        <w:rPr>
          <w:rFonts w:hint="eastAsia" w:ascii="宋体" w:hAnsi="宋体"/>
          <w:szCs w:val="21"/>
          <w:lang w:eastAsia="zh-CN"/>
        </w:rPr>
        <w:t>；</w:t>
      </w:r>
    </w:p>
    <w:p w14:paraId="5CC21397">
      <w:pPr>
        <w:tabs>
          <w:tab w:val="left" w:pos="9214"/>
        </w:tabs>
        <w:adjustRightInd w:val="0"/>
        <w:snapToGrid w:val="0"/>
        <w:spacing w:line="440" w:lineRule="exact"/>
        <w:ind w:left="424" w:leftChars="202" w:right="531" w:rightChars="253" w:firstLine="371" w:firstLineChars="177"/>
        <w:contextualSpacing/>
        <w:rPr>
          <w:rFonts w:hint="eastAsia" w:ascii="宋体" w:hAnsi="宋体" w:eastAsia="宋体"/>
          <w:szCs w:val="21"/>
          <w:lang w:eastAsia="zh-CN"/>
        </w:rPr>
      </w:pPr>
      <w:r>
        <w:rPr>
          <w:rFonts w:ascii="宋体" w:hAnsi="宋体"/>
          <w:szCs w:val="21"/>
        </w:rPr>
        <w:t>5) 投标人需提供从事系统开发人员的规模，本次投标的产品投放市场的时间</w:t>
      </w:r>
      <w:r>
        <w:rPr>
          <w:rFonts w:hint="eastAsia" w:ascii="宋体" w:hAnsi="宋体"/>
          <w:szCs w:val="21"/>
          <w:lang w:eastAsia="zh-CN"/>
        </w:rPr>
        <w:t>；</w:t>
      </w:r>
    </w:p>
    <w:p w14:paraId="1C767807">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6) 近三年以来完成</w:t>
      </w:r>
      <w:r>
        <w:rPr>
          <w:rFonts w:hint="eastAsia" w:ascii="宋体" w:hAnsi="宋体"/>
          <w:szCs w:val="21"/>
        </w:rPr>
        <w:t>相关</w:t>
      </w:r>
      <w:r>
        <w:rPr>
          <w:rFonts w:ascii="宋体" w:hAnsi="宋体"/>
          <w:szCs w:val="21"/>
        </w:rPr>
        <w:t>项目一览表，在表中需注明完成该项目的项目经理；</w:t>
      </w:r>
    </w:p>
    <w:p w14:paraId="07E754CD">
      <w:pPr>
        <w:tabs>
          <w:tab w:val="left" w:pos="9214"/>
        </w:tabs>
        <w:adjustRightInd w:val="0"/>
        <w:snapToGrid w:val="0"/>
        <w:spacing w:line="440" w:lineRule="exact"/>
        <w:ind w:left="424" w:leftChars="202" w:right="531" w:rightChars="253" w:firstLine="371" w:firstLineChars="177"/>
        <w:contextualSpacing/>
        <w:rPr>
          <w:rFonts w:hint="eastAsia" w:ascii="宋体" w:hAnsi="宋体" w:eastAsia="宋体"/>
          <w:szCs w:val="21"/>
          <w:lang w:eastAsia="zh-CN"/>
        </w:rPr>
      </w:pPr>
      <w:r>
        <w:rPr>
          <w:rFonts w:ascii="宋体" w:hAnsi="宋体"/>
          <w:szCs w:val="21"/>
        </w:rPr>
        <w:t>7) 投标方必须由法定代表人或其委托代理人（具有法定代表人签署的授权书）携带身份证原件参加投标、开标仪式，在评标过程中随时接受评委就投标文件内容提出的质询，并予以解答。本项目不允许转包，投标方必须自己承建</w:t>
      </w:r>
      <w:r>
        <w:rPr>
          <w:rFonts w:hint="eastAsia" w:ascii="宋体" w:hAnsi="宋体"/>
          <w:szCs w:val="21"/>
          <w:lang w:eastAsia="zh-CN"/>
        </w:rPr>
        <w:t>。</w:t>
      </w:r>
    </w:p>
    <w:p w14:paraId="50ACEF0C">
      <w:pPr>
        <w:adjustRightInd w:val="0"/>
        <w:snapToGrid w:val="0"/>
        <w:spacing w:line="440" w:lineRule="exact"/>
        <w:ind w:left="424" w:leftChars="202" w:right="531" w:rightChars="253" w:firstLine="332" w:firstLineChars="118"/>
        <w:contextualSpacing/>
        <w:rPr>
          <w:b/>
          <w:sz w:val="28"/>
          <w:szCs w:val="28"/>
        </w:rPr>
      </w:pPr>
      <w:bookmarkStart w:id="4" w:name="_Toc39744256"/>
      <w:r>
        <w:rPr>
          <w:rFonts w:hint="eastAsia"/>
          <w:b/>
          <w:sz w:val="28"/>
          <w:szCs w:val="28"/>
        </w:rPr>
        <w:t>（三）投标文件要求</w:t>
      </w:r>
      <w:bookmarkEnd w:id="4"/>
    </w:p>
    <w:p w14:paraId="155B9081">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w:t>
      </w:r>
      <w:r>
        <w:rPr>
          <w:rFonts w:hint="eastAsia" w:ascii="宋体" w:hAnsi="宋体"/>
          <w:b/>
          <w:szCs w:val="21"/>
        </w:rPr>
        <w:t>投标文件的组成</w:t>
      </w:r>
      <w:r>
        <w:rPr>
          <w:rFonts w:hint="eastAsia" w:ascii="宋体" w:hAnsi="宋体"/>
          <w:szCs w:val="21"/>
        </w:rPr>
        <w:t>：</w:t>
      </w:r>
    </w:p>
    <w:p w14:paraId="74C362FA">
      <w:p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1.1资格审查文件，所有复印件需加盖公章：</w:t>
      </w:r>
    </w:p>
    <w:p w14:paraId="06B900EB">
      <w:p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（1）针对本项目竞争性谈判的授权委托书；</w:t>
      </w:r>
    </w:p>
    <w:p w14:paraId="0264E0A9">
      <w:pPr>
        <w:numPr>
          <w:ilvl w:val="0"/>
          <w:numId w:val="3"/>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企业法人营业执照；</w:t>
      </w:r>
    </w:p>
    <w:p w14:paraId="730B6A17">
      <w:pPr>
        <w:numPr>
          <w:ilvl w:val="0"/>
          <w:numId w:val="3"/>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企业资质证书</w:t>
      </w:r>
      <w:r>
        <w:rPr>
          <w:rFonts w:hint="eastAsia" w:ascii="宋体"/>
          <w:szCs w:val="21"/>
        </w:rPr>
        <w:t>；</w:t>
      </w:r>
    </w:p>
    <w:p w14:paraId="17F1E521">
      <w:pPr>
        <w:numPr>
          <w:ilvl w:val="0"/>
          <w:numId w:val="3"/>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由社保部门出具的投标人</w:t>
      </w:r>
      <w:r>
        <w:rPr>
          <w:rFonts w:hint="eastAsia" w:ascii="宋体" w:hAnsi="宋体"/>
          <w:szCs w:val="21"/>
          <w:highlight w:val="none"/>
        </w:rPr>
        <w:t>为授权委托人及竞争性谈判经办人缴纳的</w:t>
      </w:r>
      <w:r>
        <w:rPr>
          <w:rFonts w:hint="eastAsia" w:ascii="宋体" w:hAnsi="宋体"/>
          <w:b/>
          <w:szCs w:val="21"/>
          <w:highlight w:val="none"/>
        </w:rPr>
        <w:t>202</w:t>
      </w:r>
      <w:r>
        <w:rPr>
          <w:rFonts w:hint="eastAsia" w:ascii="宋体" w:hAnsi="宋体"/>
          <w:b/>
          <w:szCs w:val="21"/>
          <w:highlight w:val="none"/>
          <w:lang w:val="en-US" w:eastAsia="zh-CN"/>
        </w:rPr>
        <w:t>6</w:t>
      </w:r>
      <w:r>
        <w:rPr>
          <w:rFonts w:hint="eastAsia" w:ascii="宋体" w:hAnsi="宋体"/>
          <w:b/>
          <w:szCs w:val="21"/>
          <w:highlight w:val="none"/>
        </w:rPr>
        <w:t>年</w:t>
      </w:r>
      <w:r>
        <w:rPr>
          <w:rFonts w:hint="eastAsia" w:ascii="宋体" w:hAnsi="宋体"/>
          <w:b/>
          <w:szCs w:val="21"/>
          <w:highlight w:val="none"/>
          <w:lang w:val="en-US" w:eastAsia="zh-CN"/>
        </w:rPr>
        <w:t>2</w:t>
      </w:r>
      <w:r>
        <w:rPr>
          <w:rFonts w:hint="eastAsia" w:ascii="宋体" w:hAnsi="宋体"/>
          <w:b/>
          <w:szCs w:val="21"/>
          <w:highlight w:val="none"/>
        </w:rPr>
        <w:t>月至202</w:t>
      </w:r>
      <w:r>
        <w:rPr>
          <w:rFonts w:hint="eastAsia" w:ascii="宋体" w:hAnsi="宋体"/>
          <w:b/>
          <w:szCs w:val="21"/>
          <w:highlight w:val="none"/>
          <w:lang w:val="en-US" w:eastAsia="zh-CN"/>
        </w:rPr>
        <w:t>6</w:t>
      </w:r>
      <w:r>
        <w:rPr>
          <w:rFonts w:hint="eastAsia" w:ascii="宋体" w:hAnsi="宋体"/>
          <w:b/>
          <w:szCs w:val="21"/>
          <w:highlight w:val="none"/>
        </w:rPr>
        <w:t>年</w:t>
      </w:r>
      <w:r>
        <w:rPr>
          <w:rFonts w:hint="eastAsia" w:ascii="宋体" w:hAnsi="宋体"/>
          <w:b/>
          <w:szCs w:val="21"/>
          <w:highlight w:val="none"/>
          <w:lang w:val="en-US" w:eastAsia="zh-CN"/>
        </w:rPr>
        <w:t>4</w:t>
      </w:r>
      <w:r>
        <w:rPr>
          <w:rFonts w:hint="eastAsia" w:ascii="宋体" w:hAnsi="宋体"/>
          <w:b/>
          <w:szCs w:val="21"/>
          <w:highlight w:val="none"/>
        </w:rPr>
        <w:t>月（任意一个月）</w:t>
      </w:r>
      <w:r>
        <w:rPr>
          <w:rFonts w:hint="eastAsia" w:ascii="宋体" w:hAnsi="宋体"/>
          <w:szCs w:val="21"/>
          <w:highlight w:val="none"/>
        </w:rPr>
        <w:t>养老保险费用的证明</w:t>
      </w:r>
      <w:r>
        <w:rPr>
          <w:rFonts w:hint="eastAsia" w:ascii="宋体" w:hAnsi="宋体"/>
          <w:szCs w:val="21"/>
        </w:rPr>
        <w:t>材料；</w:t>
      </w:r>
    </w:p>
    <w:p w14:paraId="35EFD544">
      <w:pPr>
        <w:adjustRightInd w:val="0"/>
        <w:snapToGrid w:val="0"/>
        <w:spacing w:line="440" w:lineRule="exact"/>
        <w:ind w:left="422" w:leftChars="201" w:right="531" w:rightChars="253" w:firstLine="373" w:firstLineChars="177"/>
        <w:contextualSpacing/>
        <w:rPr>
          <w:rFonts w:ascii="宋体" w:hAnsi="宋体"/>
          <w:szCs w:val="21"/>
        </w:rPr>
      </w:pPr>
      <w:r>
        <w:rPr>
          <w:rFonts w:hint="eastAsia" w:ascii="宋体" w:hAnsi="宋体"/>
          <w:b/>
          <w:szCs w:val="21"/>
        </w:rPr>
        <w:t>1.2报价文件</w:t>
      </w:r>
      <w:r>
        <w:rPr>
          <w:rFonts w:hint="eastAsia" w:ascii="宋体" w:hAnsi="宋体"/>
          <w:szCs w:val="21"/>
        </w:rPr>
        <w:t>（须</w:t>
      </w:r>
      <w:r>
        <w:rPr>
          <w:rFonts w:hint="eastAsia" w:ascii="宋体" w:hAnsi="宋体"/>
          <w:b/>
          <w:bCs/>
          <w:szCs w:val="21"/>
        </w:rPr>
        <w:t>单独装订</w:t>
      </w:r>
      <w:r>
        <w:rPr>
          <w:rFonts w:hint="eastAsia" w:ascii="宋体" w:hAnsi="宋体"/>
          <w:szCs w:val="21"/>
        </w:rPr>
        <w:t>编页码做目录，A4纸打印并在封面注明“报价文件”）</w:t>
      </w:r>
    </w:p>
    <w:p w14:paraId="4CD566F9">
      <w:pPr>
        <w:adjustRightInd w:val="0"/>
        <w:snapToGrid w:val="0"/>
        <w:spacing w:line="440" w:lineRule="exact"/>
        <w:ind w:left="422" w:leftChars="201" w:right="531" w:rightChars="253" w:firstLine="249" w:firstLineChars="119"/>
        <w:contextualSpacing/>
        <w:rPr>
          <w:rFonts w:ascii="宋体" w:hAnsi="宋体"/>
          <w:bCs/>
          <w:szCs w:val="21"/>
        </w:rPr>
      </w:pPr>
      <w:r>
        <w:rPr>
          <w:rFonts w:hint="eastAsia" w:ascii="宋体" w:hAnsi="宋体"/>
          <w:bCs/>
          <w:szCs w:val="21"/>
        </w:rPr>
        <w:t>（1）投标函</w:t>
      </w:r>
    </w:p>
    <w:p w14:paraId="31DC2D0F">
      <w:pPr>
        <w:adjustRightInd w:val="0"/>
        <w:snapToGrid w:val="0"/>
        <w:spacing w:line="440" w:lineRule="exact"/>
        <w:ind w:left="422" w:leftChars="201" w:right="531" w:rightChars="253" w:firstLine="249" w:firstLineChars="119"/>
        <w:contextualSpacing/>
        <w:rPr>
          <w:rFonts w:ascii="宋体" w:hAnsi="宋体"/>
          <w:bCs/>
          <w:szCs w:val="21"/>
        </w:rPr>
      </w:pPr>
      <w:r>
        <w:rPr>
          <w:rFonts w:hint="eastAsia" w:ascii="宋体" w:hAnsi="宋体"/>
          <w:bCs/>
          <w:szCs w:val="21"/>
        </w:rPr>
        <w:t>（2）授权委托书</w:t>
      </w:r>
    </w:p>
    <w:p w14:paraId="66B960AE">
      <w:pPr>
        <w:adjustRightInd w:val="0"/>
        <w:snapToGrid w:val="0"/>
        <w:spacing w:line="440" w:lineRule="exact"/>
        <w:ind w:left="422" w:leftChars="201" w:right="531" w:rightChars="253" w:firstLine="249" w:firstLineChars="119"/>
        <w:contextualSpacing/>
        <w:rPr>
          <w:rFonts w:ascii="宋体" w:hAnsi="宋体"/>
          <w:color w:val="FF0000"/>
          <w:szCs w:val="21"/>
        </w:rPr>
      </w:pPr>
      <w:r>
        <w:rPr>
          <w:rFonts w:hint="eastAsia" w:ascii="宋体" w:hAnsi="宋体"/>
          <w:bCs/>
          <w:szCs w:val="21"/>
        </w:rPr>
        <w:t>（3）</w:t>
      </w:r>
      <w:r>
        <w:rPr>
          <w:rFonts w:hint="eastAsia" w:ascii="宋体" w:hAnsi="宋体"/>
          <w:szCs w:val="21"/>
        </w:rPr>
        <w:t>投标报价</w:t>
      </w:r>
    </w:p>
    <w:p w14:paraId="70BED0F2">
      <w:pPr>
        <w:adjustRightInd w:val="0"/>
        <w:snapToGrid w:val="0"/>
        <w:spacing w:line="440" w:lineRule="exact"/>
        <w:ind w:left="422" w:leftChars="201" w:right="531" w:rightChars="253" w:firstLine="373" w:firstLineChars="177"/>
        <w:contextualSpacing/>
        <w:rPr>
          <w:rFonts w:ascii="宋体" w:hAnsi="宋体"/>
          <w:b/>
          <w:szCs w:val="21"/>
        </w:rPr>
      </w:pPr>
      <w:r>
        <w:rPr>
          <w:rFonts w:hint="eastAsia" w:ascii="宋体" w:hAnsi="宋体"/>
          <w:b/>
          <w:szCs w:val="21"/>
        </w:rPr>
        <w:t>以上投标文件组成及报价要求将作为否决投标单位标书的重要条件。</w:t>
      </w:r>
    </w:p>
    <w:p w14:paraId="6362B6AB">
      <w:pPr>
        <w:ind w:firstLine="562" w:firstLineChars="200"/>
        <w:rPr>
          <w:b/>
          <w:sz w:val="28"/>
          <w:szCs w:val="28"/>
        </w:rPr>
      </w:pPr>
      <w:bookmarkStart w:id="5" w:name="_Toc39744257"/>
      <w:r>
        <w:rPr>
          <w:rFonts w:hint="eastAsia"/>
          <w:b/>
          <w:sz w:val="28"/>
          <w:szCs w:val="28"/>
        </w:rPr>
        <w:t>（四）开标、</w:t>
      </w:r>
      <w:bookmarkEnd w:id="5"/>
      <w:r>
        <w:rPr>
          <w:rFonts w:hint="eastAsia"/>
          <w:b/>
          <w:sz w:val="28"/>
          <w:szCs w:val="28"/>
        </w:rPr>
        <w:t>评标</w:t>
      </w:r>
    </w:p>
    <w:p w14:paraId="5D06A78B">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1、开标时，招标方代表或监管部门或投标单位检查投标文件的密封情况，在确认无误后拆封读标。投标文件一经开封不得进行改动。</w:t>
      </w:r>
    </w:p>
    <w:p w14:paraId="63566F23">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2、初步评审要求：开标后，招标方将组织审查投标文件是否完整；是否有计算错误。投标文件出现下列情形之一的，将作为无效投标文件：</w:t>
      </w:r>
    </w:p>
    <w:p w14:paraId="05F28449">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（1）投标文件不响应谈判文件要求的；</w:t>
      </w:r>
    </w:p>
    <w:p w14:paraId="43C98D95">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（2）投标函未盖投标人的企业及企业法定代表人印章并签字的，或者企业法定代表人委托代理人没有合法、有效的委托书（原件）及委托代理人印章并签字的；</w:t>
      </w:r>
    </w:p>
    <w:p w14:paraId="26495549">
      <w:pPr>
        <w:adjustRightInd w:val="0"/>
        <w:snapToGrid w:val="0"/>
        <w:spacing w:line="440" w:lineRule="exact"/>
        <w:ind w:left="424" w:leftChars="202" w:right="531" w:rightChars="253" w:firstLine="247" w:firstLineChars="118"/>
        <w:contextualSpacing/>
        <w:rPr>
          <w:rFonts w:hint="eastAsia" w:ascii="宋体" w:hAnsi="宋体" w:eastAsia="宋体"/>
          <w:szCs w:val="21"/>
          <w:lang w:eastAsia="zh-CN"/>
        </w:rPr>
      </w:pPr>
      <w:r>
        <w:rPr>
          <w:rFonts w:hint="eastAsia" w:ascii="宋体" w:hAnsi="宋体"/>
          <w:szCs w:val="21"/>
        </w:rPr>
        <w:t>（3）投标文件的关键内容模糊、无法辨认的</w:t>
      </w:r>
      <w:r>
        <w:rPr>
          <w:rFonts w:hint="eastAsia" w:ascii="宋体" w:hAnsi="宋体"/>
          <w:szCs w:val="21"/>
          <w:lang w:eastAsia="zh-CN"/>
        </w:rPr>
        <w:t>。</w:t>
      </w:r>
    </w:p>
    <w:p w14:paraId="6659A849">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3、评标小组先评审技术文件，后评审报价文件。</w:t>
      </w:r>
    </w:p>
    <w:p w14:paraId="1899DF66">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4、严格按照扬州大学附属医院采购管理暂行办法，组成项目评标小组。严格按招标文件，公平、公正、科学、严谨地对投标文件进行综合评定。</w:t>
      </w:r>
    </w:p>
    <w:p w14:paraId="621C0E97">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5、竞争性谈判程序：</w:t>
      </w:r>
    </w:p>
    <w:p w14:paraId="69689C15">
      <w:pPr>
        <w:adjustRightInd w:val="0"/>
        <w:snapToGrid w:val="0"/>
        <w:spacing w:line="440" w:lineRule="exact"/>
        <w:ind w:left="422" w:leftChars="201" w:right="531" w:rightChars="253" w:firstLine="373" w:firstLineChars="177"/>
        <w:contextualSpacing/>
        <w:rPr>
          <w:rFonts w:ascii="宋体" w:hAnsi="宋体"/>
          <w:b/>
          <w:szCs w:val="21"/>
        </w:rPr>
      </w:pPr>
      <w:r>
        <w:rPr>
          <w:rFonts w:hint="eastAsia" w:ascii="宋体" w:hAnsi="宋体"/>
          <w:b/>
          <w:szCs w:val="21"/>
        </w:rPr>
        <w:t>（1）资格审查；（2）投标单位自我介绍；（3）谈判。</w:t>
      </w:r>
    </w:p>
    <w:p w14:paraId="6D38BAAD">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6、定标</w:t>
      </w:r>
    </w:p>
    <w:p w14:paraId="345E7203">
      <w:pPr>
        <w:wordWrap w:val="0"/>
        <w:spacing w:line="440" w:lineRule="exact"/>
        <w:ind w:left="424" w:leftChars="202" w:right="531" w:rightChars="253" w:firstLine="361" w:firstLineChars="172"/>
        <w:contextualSpacing/>
        <w:jc w:val="left"/>
        <w:rPr>
          <w:rFonts w:ascii="宋体" w:hAnsi="宋体"/>
          <w:szCs w:val="21"/>
        </w:rPr>
      </w:pPr>
      <w:r>
        <w:rPr>
          <w:rFonts w:hint="eastAsia" w:ascii="宋体" w:hAnsi="宋体"/>
          <w:szCs w:val="21"/>
        </w:rPr>
        <w:t>根据综合评分进行排序，排名第一为中标单位。</w:t>
      </w:r>
      <w:bookmarkStart w:id="6" w:name="_Toc39744258"/>
    </w:p>
    <w:p w14:paraId="2648BDF9">
      <w:pPr>
        <w:pStyle w:val="2"/>
      </w:pPr>
    </w:p>
    <w:p w14:paraId="4FACCDFA">
      <w:pPr>
        <w:pStyle w:val="2"/>
      </w:pPr>
    </w:p>
    <w:p w14:paraId="3366C577">
      <w:pPr>
        <w:pStyle w:val="2"/>
      </w:pPr>
    </w:p>
    <w:p w14:paraId="08B23150">
      <w:pPr>
        <w:wordWrap w:val="0"/>
        <w:spacing w:line="440" w:lineRule="exact"/>
        <w:ind w:left="424" w:leftChars="202" w:right="531" w:rightChars="253" w:firstLine="553" w:firstLineChars="172"/>
        <w:contextualSpacing/>
        <w:jc w:val="center"/>
        <w:rPr>
          <w:rFonts w:ascii="宋体" w:hAnsi="宋体"/>
          <w:b/>
          <w:sz w:val="32"/>
          <w:szCs w:val="32"/>
        </w:rPr>
      </w:pPr>
      <w:r>
        <w:rPr>
          <w:rFonts w:hint="eastAsia"/>
          <w:b/>
          <w:sz w:val="32"/>
          <w:szCs w:val="32"/>
        </w:rPr>
        <w:t>四、投标文件格式及附件要求</w:t>
      </w:r>
      <w:bookmarkEnd w:id="6"/>
    </w:p>
    <w:p w14:paraId="371A7DB0">
      <w:pPr>
        <w:jc w:val="center"/>
        <w:rPr>
          <w:b/>
          <w:sz w:val="36"/>
          <w:szCs w:val="36"/>
        </w:rPr>
      </w:pPr>
    </w:p>
    <w:p w14:paraId="0E54A88D">
      <w:pPr>
        <w:jc w:val="center"/>
        <w:rPr>
          <w:rFonts w:ascii="宋体" w:hAnsi="宋体"/>
          <w:b/>
          <w:sz w:val="36"/>
          <w:szCs w:val="36"/>
          <w:u w:val="single"/>
        </w:rPr>
      </w:pPr>
      <w:r>
        <w:rPr>
          <w:rFonts w:hint="eastAsia"/>
          <w:b/>
          <w:sz w:val="36"/>
          <w:szCs w:val="36"/>
        </w:rPr>
        <w:t>目录</w:t>
      </w:r>
    </w:p>
    <w:p w14:paraId="60D2D401">
      <w:pPr>
        <w:adjustRightInd w:val="0"/>
        <w:snapToGrid w:val="0"/>
        <w:spacing w:line="440" w:lineRule="exact"/>
        <w:ind w:left="846" w:leftChars="403" w:firstLine="2" w:firstLineChars="1"/>
        <w:contextualSpacing/>
        <w:rPr>
          <w:rFonts w:ascii="宋体" w:hAnsi="宋体"/>
          <w:snapToGrid w:val="0"/>
          <w:sz w:val="24"/>
        </w:rPr>
      </w:pPr>
      <w:r>
        <w:rPr>
          <w:rFonts w:hint="eastAsia" w:ascii="宋体" w:hAnsi="宋体"/>
          <w:snapToGrid w:val="0"/>
          <w:sz w:val="24"/>
        </w:rPr>
        <w:t>（一）资格审查</w:t>
      </w:r>
    </w:p>
    <w:p w14:paraId="131C1FB4">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1、针对本项目的授权委托书原件；</w:t>
      </w:r>
    </w:p>
    <w:p w14:paraId="38F9011A">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2、企业法人营业执照；</w:t>
      </w:r>
    </w:p>
    <w:p w14:paraId="43AC0B93">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3、企业资质证书；</w:t>
      </w:r>
    </w:p>
    <w:p w14:paraId="3A44EB08">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highlight w:val="none"/>
        </w:rPr>
        <w:t>4、由社保部门出具的投标人为经办人及投标报名项目负责人缴纳的202</w:t>
      </w:r>
      <w:r>
        <w:rPr>
          <w:rFonts w:hint="eastAsia" w:ascii="宋体" w:hAnsi="宋体"/>
          <w:snapToGrid w:val="0"/>
          <w:sz w:val="24"/>
          <w:highlight w:val="none"/>
          <w:lang w:val="en-US" w:eastAsia="zh-CN"/>
        </w:rPr>
        <w:t>6</w:t>
      </w:r>
      <w:r>
        <w:rPr>
          <w:rFonts w:hint="eastAsia" w:ascii="宋体" w:hAnsi="宋体"/>
          <w:snapToGrid w:val="0"/>
          <w:sz w:val="24"/>
          <w:highlight w:val="none"/>
        </w:rPr>
        <w:t>年</w:t>
      </w:r>
      <w:r>
        <w:rPr>
          <w:rFonts w:hint="eastAsia" w:ascii="宋体" w:hAnsi="宋体"/>
          <w:snapToGrid w:val="0"/>
          <w:sz w:val="24"/>
          <w:highlight w:val="none"/>
          <w:lang w:val="en-US" w:eastAsia="zh-CN"/>
        </w:rPr>
        <w:t>2</w:t>
      </w:r>
      <w:r>
        <w:rPr>
          <w:rFonts w:hint="eastAsia" w:ascii="宋体" w:hAnsi="宋体"/>
          <w:snapToGrid w:val="0"/>
          <w:sz w:val="24"/>
          <w:highlight w:val="none"/>
        </w:rPr>
        <w:t>月-202</w:t>
      </w:r>
      <w:r>
        <w:rPr>
          <w:rFonts w:hint="eastAsia" w:ascii="宋体" w:hAnsi="宋体"/>
          <w:snapToGrid w:val="0"/>
          <w:sz w:val="24"/>
          <w:highlight w:val="none"/>
          <w:lang w:val="en-US" w:eastAsia="zh-CN"/>
        </w:rPr>
        <w:t>6</w:t>
      </w:r>
      <w:r>
        <w:rPr>
          <w:rFonts w:hint="eastAsia" w:ascii="宋体" w:hAnsi="宋体"/>
          <w:snapToGrid w:val="0"/>
          <w:sz w:val="24"/>
          <w:highlight w:val="none"/>
        </w:rPr>
        <w:t>年</w:t>
      </w:r>
      <w:r>
        <w:rPr>
          <w:rFonts w:hint="eastAsia" w:ascii="宋体" w:hAnsi="宋体"/>
          <w:snapToGrid w:val="0"/>
          <w:sz w:val="24"/>
          <w:highlight w:val="none"/>
          <w:lang w:val="en-US" w:eastAsia="zh-CN"/>
        </w:rPr>
        <w:t>4</w:t>
      </w:r>
      <w:r>
        <w:rPr>
          <w:rFonts w:hint="eastAsia" w:ascii="宋体" w:hAnsi="宋体"/>
          <w:snapToGrid w:val="0"/>
          <w:sz w:val="24"/>
          <w:highlight w:val="none"/>
        </w:rPr>
        <w:t>月养老保险费用</w:t>
      </w:r>
      <w:r>
        <w:rPr>
          <w:rFonts w:hint="eastAsia" w:ascii="宋体" w:hAnsi="宋体"/>
          <w:snapToGrid w:val="0"/>
          <w:sz w:val="24"/>
        </w:rPr>
        <w:t>的证明材料（任意一个月）；</w:t>
      </w:r>
    </w:p>
    <w:p w14:paraId="00F96994">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5、投标单位不在供应商被“信用中国”网站（www.creditchina.gov.cn）、“中国政府采购网</w:t>
      </w:r>
      <w:r>
        <w:rPr>
          <w:rFonts w:hint="eastAsia" w:ascii="宋体" w:hAnsi="宋体"/>
          <w:snapToGrid w:val="0"/>
          <w:sz w:val="24"/>
          <w:lang w:eastAsia="zh-CN"/>
        </w:rPr>
        <w:t>”</w:t>
      </w:r>
      <w:r>
        <w:rPr>
          <w:rFonts w:hint="eastAsia" w:ascii="宋体" w:hAnsi="宋体"/>
          <w:snapToGrid w:val="0"/>
          <w:sz w:val="24"/>
        </w:rPr>
        <w:t>(www.ccgp.gov.cn)列入失信被执行人、重大税收违法案件当事人名单、政府采购严重违法失信行为记录名单的截图，并盖章。</w:t>
      </w:r>
    </w:p>
    <w:p w14:paraId="7B53F3CE">
      <w:pPr>
        <w:adjustRightInd w:val="0"/>
        <w:snapToGrid w:val="0"/>
        <w:spacing w:line="440" w:lineRule="exact"/>
        <w:ind w:left="846" w:leftChars="403" w:firstLine="2" w:firstLineChars="1"/>
        <w:contextualSpacing/>
        <w:rPr>
          <w:rFonts w:ascii="宋体" w:hAnsi="宋体"/>
          <w:snapToGrid w:val="0"/>
          <w:sz w:val="24"/>
        </w:rPr>
      </w:pPr>
      <w:r>
        <w:rPr>
          <w:rFonts w:hint="eastAsia" w:ascii="宋体" w:hAnsi="宋体"/>
          <w:snapToGrid w:val="0"/>
          <w:sz w:val="24"/>
        </w:rPr>
        <w:t>（二）报价文件</w:t>
      </w:r>
    </w:p>
    <w:p w14:paraId="5EBD2A02">
      <w:pPr>
        <w:keepNext w:val="0"/>
        <w:keepLines w:val="0"/>
        <w:pageBreakBefore w:val="0"/>
        <w:widowControl w:val="0"/>
        <w:tabs>
          <w:tab w:val="left" w:pos="1300"/>
          <w:tab w:val="left" w:pos="1600"/>
        </w:tabs>
        <w:kinsoku/>
        <w:wordWrap/>
        <w:overflowPunct/>
        <w:topLinePunct w:val="0"/>
        <w:bidi w:val="0"/>
        <w:adjustRightInd w:val="0"/>
        <w:snapToGrid w:val="0"/>
        <w:spacing w:line="440" w:lineRule="exact"/>
        <w:ind w:left="846" w:leftChars="403" w:firstLine="240" w:firstLineChars="100"/>
        <w:contextualSpacing/>
        <w:textAlignment w:val="auto"/>
        <w:rPr>
          <w:rFonts w:ascii="宋体" w:hAnsi="宋体"/>
          <w:snapToGrid w:val="0"/>
          <w:sz w:val="24"/>
        </w:rPr>
      </w:pPr>
      <w:r>
        <w:rPr>
          <w:rFonts w:hint="eastAsia" w:ascii="宋体" w:hAnsi="宋体"/>
          <w:snapToGrid w:val="0"/>
          <w:sz w:val="24"/>
        </w:rPr>
        <w:t>1、投标函</w:t>
      </w:r>
    </w:p>
    <w:p w14:paraId="1A0183FE">
      <w:pPr>
        <w:keepNext w:val="0"/>
        <w:keepLines w:val="0"/>
        <w:pageBreakBefore w:val="0"/>
        <w:widowControl w:val="0"/>
        <w:tabs>
          <w:tab w:val="left" w:pos="1300"/>
          <w:tab w:val="left" w:pos="1600"/>
        </w:tabs>
        <w:kinsoku/>
        <w:wordWrap/>
        <w:overflowPunct/>
        <w:topLinePunct w:val="0"/>
        <w:bidi w:val="0"/>
        <w:adjustRightInd w:val="0"/>
        <w:snapToGrid w:val="0"/>
        <w:spacing w:line="440" w:lineRule="exact"/>
        <w:ind w:left="846" w:leftChars="403" w:firstLine="240" w:firstLineChars="100"/>
        <w:contextualSpacing/>
        <w:textAlignment w:val="auto"/>
        <w:rPr>
          <w:rFonts w:hint="eastAsia" w:ascii="宋体" w:hAnsi="宋体"/>
          <w:snapToGrid w:val="0"/>
          <w:sz w:val="24"/>
        </w:rPr>
      </w:pPr>
      <w:r>
        <w:rPr>
          <w:rFonts w:hint="eastAsia" w:ascii="宋体" w:hAnsi="宋体"/>
          <w:snapToGrid w:val="0"/>
          <w:sz w:val="24"/>
        </w:rPr>
        <w:t>2、授权委托书</w:t>
      </w:r>
    </w:p>
    <w:p w14:paraId="1A844D7D">
      <w:pPr>
        <w:pStyle w:val="2"/>
        <w:keepNext w:val="0"/>
        <w:keepLines w:val="0"/>
        <w:pageBreakBefore w:val="0"/>
        <w:widowControl w:val="0"/>
        <w:kinsoku/>
        <w:wordWrap/>
        <w:overflowPunct/>
        <w:topLinePunct w:val="0"/>
        <w:autoSpaceDE w:val="0"/>
        <w:autoSpaceDN w:val="0"/>
        <w:bidi w:val="0"/>
        <w:adjustRightInd w:val="0"/>
        <w:snapToGrid/>
        <w:spacing w:line="440" w:lineRule="exact"/>
        <w:ind w:left="846" w:leftChars="403" w:firstLine="240" w:firstLineChars="100"/>
        <w:textAlignment w:val="auto"/>
        <w:rPr>
          <w:rFonts w:hint="default" w:ascii="宋体" w:hAnsi="宋体" w:eastAsia="宋体" w:cs="Times New Roman"/>
          <w:snapToGrid w:val="0"/>
          <w:color w:val="auto"/>
          <w:kern w:val="2"/>
          <w:sz w:val="24"/>
          <w:szCs w:val="24"/>
          <w:lang w:val="en-US" w:eastAsia="zh-CN" w:bidi="ar-SA"/>
        </w:rPr>
      </w:pPr>
      <w:r>
        <w:rPr>
          <w:rFonts w:hint="eastAsia" w:ascii="宋体" w:hAnsi="宋体" w:eastAsia="宋体" w:cs="Times New Roman"/>
          <w:snapToGrid w:val="0"/>
          <w:color w:val="auto"/>
          <w:kern w:val="2"/>
          <w:sz w:val="24"/>
          <w:szCs w:val="24"/>
          <w:lang w:val="en-US" w:eastAsia="zh-CN" w:bidi="ar-SA"/>
        </w:rPr>
        <w:t>3、承诺书</w:t>
      </w:r>
    </w:p>
    <w:p w14:paraId="47316504">
      <w:pPr>
        <w:keepNext w:val="0"/>
        <w:keepLines w:val="0"/>
        <w:pageBreakBefore w:val="0"/>
        <w:widowControl w:val="0"/>
        <w:tabs>
          <w:tab w:val="left" w:pos="1300"/>
          <w:tab w:val="left" w:pos="1600"/>
        </w:tabs>
        <w:kinsoku/>
        <w:wordWrap/>
        <w:overflowPunct/>
        <w:topLinePunct w:val="0"/>
        <w:bidi w:val="0"/>
        <w:adjustRightInd w:val="0"/>
        <w:snapToGrid w:val="0"/>
        <w:spacing w:line="440" w:lineRule="exact"/>
        <w:ind w:left="846" w:leftChars="403" w:firstLine="240" w:firstLineChars="100"/>
        <w:contextualSpacing/>
        <w:textAlignment w:val="auto"/>
        <w:rPr>
          <w:rFonts w:ascii="宋体" w:hAnsi="宋体"/>
          <w:snapToGrid w:val="0"/>
          <w:sz w:val="24"/>
        </w:rPr>
      </w:pPr>
      <w:r>
        <w:rPr>
          <w:rFonts w:hint="eastAsia" w:ascii="宋体" w:hAnsi="宋体"/>
          <w:snapToGrid w:val="0"/>
          <w:sz w:val="24"/>
          <w:lang w:val="en-US" w:eastAsia="zh-CN"/>
        </w:rPr>
        <w:t>4</w:t>
      </w:r>
      <w:r>
        <w:rPr>
          <w:rFonts w:hint="eastAsia" w:ascii="宋体" w:hAnsi="宋体"/>
          <w:snapToGrid w:val="0"/>
          <w:sz w:val="24"/>
        </w:rPr>
        <w:t>、投标报价</w:t>
      </w:r>
    </w:p>
    <w:p w14:paraId="4CFD17B4">
      <w:pPr>
        <w:keepNext w:val="0"/>
        <w:keepLines w:val="0"/>
        <w:pageBreakBefore w:val="0"/>
        <w:widowControl w:val="0"/>
        <w:tabs>
          <w:tab w:val="left" w:pos="1300"/>
          <w:tab w:val="left" w:pos="1600"/>
        </w:tabs>
        <w:kinsoku/>
        <w:wordWrap/>
        <w:overflowPunct/>
        <w:topLinePunct w:val="0"/>
        <w:bidi w:val="0"/>
        <w:adjustRightInd w:val="0"/>
        <w:snapToGrid w:val="0"/>
        <w:spacing w:line="440" w:lineRule="exact"/>
        <w:ind w:left="846" w:leftChars="403" w:firstLine="240" w:firstLineChars="100"/>
        <w:contextualSpacing/>
        <w:textAlignment w:val="auto"/>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、供应商廉洁自律承诺书</w:t>
      </w:r>
    </w:p>
    <w:p w14:paraId="248338A6">
      <w:pPr>
        <w:pStyle w:val="2"/>
        <w:keepNext w:val="0"/>
        <w:keepLines w:val="0"/>
        <w:pageBreakBefore w:val="0"/>
        <w:widowControl w:val="0"/>
        <w:kinsoku/>
        <w:wordWrap/>
        <w:overflowPunct/>
        <w:topLinePunct w:val="0"/>
        <w:bidi w:val="0"/>
        <w:adjustRightInd w:val="0"/>
        <w:spacing w:line="440" w:lineRule="exact"/>
        <w:textAlignment w:val="auto"/>
      </w:pPr>
    </w:p>
    <w:p w14:paraId="5920ED21">
      <w:pPr>
        <w:pStyle w:val="2"/>
      </w:pPr>
    </w:p>
    <w:p w14:paraId="5F35E700">
      <w:pPr>
        <w:adjustRightInd w:val="0"/>
        <w:snapToGrid w:val="0"/>
        <w:spacing w:line="440" w:lineRule="exact"/>
        <w:ind w:left="424" w:leftChars="202" w:firstLine="371" w:firstLineChars="177"/>
        <w:contextualSpacing/>
        <w:rPr>
          <w:rFonts w:ascii="宋体" w:hAnsi="宋体"/>
          <w:bCs/>
          <w:szCs w:val="21"/>
        </w:rPr>
      </w:pPr>
    </w:p>
    <w:p w14:paraId="31EBC6F0">
      <w:pPr>
        <w:tabs>
          <w:tab w:val="left" w:pos="1300"/>
          <w:tab w:val="left" w:pos="1600"/>
        </w:tabs>
        <w:spacing w:line="560" w:lineRule="exact"/>
        <w:ind w:firstLine="420" w:firstLineChars="200"/>
        <w:rPr>
          <w:rFonts w:ascii="宋体" w:hAnsi="宋体"/>
          <w:bCs/>
          <w:szCs w:val="21"/>
        </w:rPr>
      </w:pPr>
    </w:p>
    <w:p w14:paraId="3D3BBA28">
      <w:pPr>
        <w:tabs>
          <w:tab w:val="left" w:pos="1300"/>
          <w:tab w:val="left" w:pos="1600"/>
        </w:tabs>
        <w:spacing w:line="560" w:lineRule="exact"/>
        <w:ind w:firstLine="420" w:firstLineChars="200"/>
        <w:rPr>
          <w:rFonts w:ascii="宋体" w:hAnsi="宋体"/>
          <w:bCs/>
          <w:szCs w:val="21"/>
        </w:rPr>
      </w:pPr>
    </w:p>
    <w:p w14:paraId="3761699F">
      <w:pPr>
        <w:tabs>
          <w:tab w:val="left" w:pos="1300"/>
          <w:tab w:val="left" w:pos="1600"/>
        </w:tabs>
        <w:spacing w:line="560" w:lineRule="exact"/>
        <w:ind w:firstLine="480" w:firstLineChars="200"/>
        <w:rPr>
          <w:rFonts w:ascii="宋体" w:hAnsi="宋体"/>
          <w:snapToGrid w:val="0"/>
          <w:sz w:val="24"/>
        </w:rPr>
      </w:pPr>
    </w:p>
    <w:p w14:paraId="2F1DD17A">
      <w:pPr>
        <w:pStyle w:val="11"/>
        <w:rPr>
          <w:rFonts w:ascii="黑体" w:hAnsi="Times New Roman" w:eastAsia="黑体"/>
          <w:b/>
          <w:sz w:val="36"/>
        </w:rPr>
      </w:pPr>
    </w:p>
    <w:p w14:paraId="25FA118F">
      <w:pPr>
        <w:pStyle w:val="11"/>
        <w:rPr>
          <w:rFonts w:ascii="黑体" w:hAnsi="Times New Roman" w:eastAsia="黑体"/>
          <w:b/>
          <w:sz w:val="36"/>
        </w:rPr>
      </w:pPr>
    </w:p>
    <w:p w14:paraId="0580656F">
      <w:pPr>
        <w:pStyle w:val="11"/>
        <w:rPr>
          <w:rFonts w:ascii="黑体" w:hAnsi="Times New Roman" w:eastAsia="黑体"/>
          <w:b/>
          <w:sz w:val="36"/>
        </w:rPr>
      </w:pPr>
    </w:p>
    <w:p w14:paraId="29BFF591">
      <w:pPr>
        <w:pStyle w:val="11"/>
        <w:rPr>
          <w:rFonts w:ascii="黑体" w:hAnsi="Times New Roman" w:eastAsia="黑体"/>
          <w:b/>
          <w:sz w:val="36"/>
        </w:rPr>
      </w:pPr>
    </w:p>
    <w:p w14:paraId="28874FA8">
      <w:pPr>
        <w:spacing w:line="360" w:lineRule="auto"/>
        <w:ind w:firstLine="3975" w:firstLineChars="1100"/>
        <w:rPr>
          <w:rFonts w:ascii="宋体" w:hAnsi="宋体"/>
          <w:b/>
          <w:sz w:val="36"/>
          <w:szCs w:val="36"/>
        </w:rPr>
      </w:pPr>
      <w:r>
        <w:rPr>
          <w:rFonts w:hint="eastAsia" w:hAnsi="宋体"/>
          <w:b/>
          <w:sz w:val="36"/>
        </w:rPr>
        <w:t xml:space="preserve">  </w:t>
      </w:r>
      <w:r>
        <w:rPr>
          <w:rFonts w:hint="eastAsia" w:ascii="宋体" w:hAnsi="宋体"/>
          <w:b/>
          <w:sz w:val="36"/>
          <w:szCs w:val="36"/>
        </w:rPr>
        <w:t>投标函</w:t>
      </w:r>
    </w:p>
    <w:p w14:paraId="1E664F63">
      <w:pPr>
        <w:adjustRightInd w:val="0"/>
        <w:snapToGrid w:val="0"/>
        <w:spacing w:line="440" w:lineRule="exact"/>
        <w:ind w:left="424" w:leftChars="202" w:right="531" w:rightChars="253"/>
        <w:contextualSpacing/>
        <w:rPr>
          <w:rFonts w:ascii="宋体" w:hAnsi="宋体"/>
          <w:sz w:val="24"/>
        </w:rPr>
      </w:pPr>
      <w:r>
        <w:rPr>
          <w:rFonts w:hint="eastAsia" w:ascii="宋体" w:hAnsi="宋体"/>
          <w:sz w:val="24"/>
        </w:rPr>
        <w:t>招标人：</w:t>
      </w:r>
      <w:r>
        <w:rPr>
          <w:rFonts w:hint="eastAsia" w:ascii="宋体" w:hAnsi="宋体"/>
          <w:sz w:val="24"/>
          <w:u w:val="single"/>
        </w:rPr>
        <w:t xml:space="preserve"> 扬州大学附属医院 </w:t>
      </w:r>
    </w:p>
    <w:p w14:paraId="11487A1D">
      <w:pPr>
        <w:adjustRightInd w:val="0"/>
        <w:snapToGrid w:val="0"/>
        <w:spacing w:line="440" w:lineRule="exact"/>
        <w:ind w:left="424" w:leftChars="202" w:right="531" w:rightChars="253" w:firstLine="480" w:firstLineChars="200"/>
        <w:contextualSpacing/>
        <w:rPr>
          <w:rFonts w:ascii="宋体" w:hAnsi="宋体"/>
          <w:bCs/>
          <w:sz w:val="24"/>
        </w:rPr>
      </w:pPr>
      <w:r>
        <w:rPr>
          <w:rFonts w:hint="eastAsia" w:ascii="宋体" w:hAnsi="宋体"/>
          <w:bCs/>
          <w:sz w:val="24"/>
        </w:rPr>
        <w:t>根据已收到贵方的</w:t>
      </w:r>
      <w:r>
        <w:rPr>
          <w:rFonts w:hint="eastAsia" w:ascii="宋体" w:hAnsi="宋体"/>
          <w:b/>
          <w:bCs/>
          <w:sz w:val="24"/>
          <w:u w:val="single"/>
        </w:rPr>
        <w:t xml:space="preserve">                                </w:t>
      </w:r>
      <w:r>
        <w:rPr>
          <w:rFonts w:hint="eastAsia" w:ascii="宋体" w:hAnsi="宋体"/>
          <w:bCs/>
          <w:sz w:val="24"/>
        </w:rPr>
        <w:t>项目的院内公开谈判文件，遵照扬州大学采购管理暂行办法，我单位经研究上述院内公开谈判文件的投标须知、合同条件、技术规范、和其他有关文件后，我方投标报价为</w:t>
      </w:r>
      <w:r>
        <w:rPr>
          <w:rFonts w:hint="eastAsia" w:ascii="宋体" w:hAnsi="宋体"/>
          <w:bCs/>
          <w:sz w:val="24"/>
          <w:u w:val="single"/>
        </w:rPr>
        <w:t xml:space="preserve">              万元</w:t>
      </w:r>
      <w:r>
        <w:rPr>
          <w:rFonts w:hint="eastAsia" w:ascii="宋体" w:hAnsi="宋体"/>
          <w:bCs/>
          <w:sz w:val="24"/>
        </w:rPr>
        <w:t>。</w:t>
      </w:r>
    </w:p>
    <w:p w14:paraId="7732BFEC">
      <w:pPr>
        <w:spacing w:line="360" w:lineRule="auto"/>
        <w:rPr>
          <w:rFonts w:ascii="宋体" w:hAnsi="宋体"/>
          <w:bCs/>
          <w:sz w:val="24"/>
        </w:rPr>
      </w:pPr>
    </w:p>
    <w:p w14:paraId="651034D8">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投标人（盖章）：</w:t>
      </w:r>
    </w:p>
    <w:p w14:paraId="738D9EB0">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法定代表人或授权委托人（签字）：</w:t>
      </w:r>
    </w:p>
    <w:p w14:paraId="0C878A37">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日  期：</w:t>
      </w:r>
    </w:p>
    <w:p w14:paraId="39EC2E82">
      <w:pPr>
        <w:rPr>
          <w:rFonts w:hint="eastAsia" w:hAnsi="宋体"/>
          <w:b/>
          <w:sz w:val="36"/>
        </w:rPr>
      </w:pPr>
      <w:r>
        <w:rPr>
          <w:rFonts w:hint="eastAsia" w:hAnsi="宋体"/>
          <w:b/>
          <w:sz w:val="36"/>
        </w:rPr>
        <w:br w:type="page"/>
      </w:r>
    </w:p>
    <w:p w14:paraId="443C95E4">
      <w:pPr>
        <w:pStyle w:val="11"/>
        <w:jc w:val="center"/>
        <w:rPr>
          <w:rFonts w:hAnsi="宋体"/>
          <w:b/>
          <w:sz w:val="36"/>
        </w:rPr>
      </w:pPr>
      <w:r>
        <w:rPr>
          <w:rFonts w:hint="eastAsia" w:hAnsi="宋体"/>
          <w:b/>
          <w:sz w:val="36"/>
        </w:rPr>
        <w:t>授权</w:t>
      </w:r>
      <w:r>
        <w:rPr>
          <w:rFonts w:hint="eastAsia" w:hAnsi="宋体"/>
          <w:b/>
          <w:sz w:val="36"/>
          <w:lang w:val="en-US" w:eastAsia="zh-CN"/>
        </w:rPr>
        <w:t>委托</w:t>
      </w:r>
      <w:r>
        <w:rPr>
          <w:rFonts w:hint="eastAsia" w:hAnsi="宋体"/>
          <w:b/>
          <w:sz w:val="36"/>
        </w:rPr>
        <w:t>书</w:t>
      </w:r>
    </w:p>
    <w:p w14:paraId="634F19FA">
      <w:pPr>
        <w:pStyle w:val="11"/>
        <w:jc w:val="center"/>
        <w:rPr>
          <w:rFonts w:hAnsi="宋体"/>
          <w:b/>
          <w:sz w:val="24"/>
          <w:szCs w:val="24"/>
        </w:rPr>
      </w:pPr>
    </w:p>
    <w:p w14:paraId="6CA476F7">
      <w:pPr>
        <w:pStyle w:val="11"/>
        <w:spacing w:line="480" w:lineRule="auto"/>
        <w:ind w:firstLine="420"/>
        <w:rPr>
          <w:rFonts w:hAnsi="宋体"/>
          <w:sz w:val="24"/>
          <w:szCs w:val="24"/>
          <w:u w:val="single"/>
        </w:rPr>
      </w:pPr>
      <w:r>
        <w:rPr>
          <w:rFonts w:hint="eastAsia" w:hAnsi="宋体"/>
          <w:sz w:val="24"/>
          <w:szCs w:val="24"/>
        </w:rPr>
        <w:t>本授权委托书声明：我</w:t>
      </w:r>
      <w:r>
        <w:rPr>
          <w:rFonts w:hAnsi="宋体"/>
          <w:sz w:val="24"/>
          <w:szCs w:val="24"/>
        </w:rPr>
        <w:t>(</w:t>
      </w:r>
      <w:r>
        <w:rPr>
          <w:rFonts w:hint="eastAsia" w:hAnsi="宋体"/>
          <w:sz w:val="24"/>
          <w:szCs w:val="24"/>
        </w:rPr>
        <w:t>姓名</w:t>
      </w:r>
      <w:r>
        <w:rPr>
          <w:rFonts w:hAnsi="宋体"/>
          <w:sz w:val="24"/>
          <w:szCs w:val="24"/>
        </w:rPr>
        <w:t>)</w:t>
      </w:r>
      <w:r>
        <w:rPr>
          <w:rFonts w:hint="eastAsia" w:hAnsi="宋体"/>
          <w:sz w:val="24"/>
          <w:szCs w:val="24"/>
        </w:rPr>
        <w:t xml:space="preserve">          系</w:t>
      </w:r>
      <w:r>
        <w:rPr>
          <w:rFonts w:hAnsi="宋体"/>
          <w:sz w:val="24"/>
          <w:szCs w:val="24"/>
        </w:rPr>
        <w:t>(</w:t>
      </w:r>
      <w:r>
        <w:rPr>
          <w:rFonts w:hint="eastAsia" w:hAnsi="宋体"/>
          <w:sz w:val="24"/>
          <w:szCs w:val="24"/>
        </w:rPr>
        <w:t>投标人名称</w:t>
      </w:r>
      <w:r>
        <w:rPr>
          <w:rFonts w:hAnsi="宋体"/>
          <w:sz w:val="24"/>
          <w:szCs w:val="24"/>
        </w:rPr>
        <w:t>)</w:t>
      </w:r>
      <w:r>
        <w:rPr>
          <w:rFonts w:hint="eastAsia" w:hAnsi="宋体"/>
          <w:sz w:val="24"/>
          <w:szCs w:val="24"/>
        </w:rPr>
        <w:t xml:space="preserve">          的法定代表人，现授权委托我单位的(姓名)          为我公司代理人。代理人在</w:t>
      </w:r>
      <w:r>
        <w:rPr>
          <w:rFonts w:hint="eastAsia" w:hAnsi="宋体"/>
          <w:sz w:val="24"/>
          <w:szCs w:val="24"/>
          <w:u w:val="single"/>
        </w:rPr>
        <w:t xml:space="preserve">                       </w:t>
      </w:r>
      <w:r>
        <w:rPr>
          <w:rFonts w:hint="eastAsia" w:hAnsi="宋体"/>
          <w:sz w:val="24"/>
          <w:szCs w:val="24"/>
        </w:rPr>
        <w:t>项目院内公开谈判活动中所签署的一切文件和处理与之有关的一切事务，我均予以承认。</w:t>
      </w:r>
    </w:p>
    <w:p w14:paraId="7C74D830">
      <w:pPr>
        <w:pStyle w:val="11"/>
        <w:spacing w:line="480" w:lineRule="auto"/>
        <w:ind w:firstLine="420"/>
        <w:rPr>
          <w:rFonts w:hAnsi="宋体"/>
          <w:sz w:val="24"/>
          <w:szCs w:val="24"/>
        </w:rPr>
      </w:pPr>
      <w:r>
        <w:rPr>
          <w:rFonts w:hint="eastAsia" w:hAnsi="宋体"/>
          <w:sz w:val="24"/>
          <w:szCs w:val="24"/>
        </w:rPr>
        <w:t>代理人无转委权。特此委托。</w:t>
      </w:r>
    </w:p>
    <w:p w14:paraId="2996B063">
      <w:pPr>
        <w:pStyle w:val="11"/>
        <w:spacing w:line="480" w:lineRule="auto"/>
        <w:ind w:firstLine="360" w:firstLineChars="150"/>
        <w:rPr>
          <w:rFonts w:hAnsi="宋体"/>
          <w:sz w:val="24"/>
          <w:szCs w:val="24"/>
        </w:rPr>
      </w:pPr>
      <w:r>
        <w:rPr>
          <w:rFonts w:hint="eastAsia" w:hAnsi="宋体"/>
          <w:sz w:val="24"/>
          <w:szCs w:val="24"/>
        </w:rPr>
        <w:t>投标人：</w:t>
      </w:r>
      <w:r>
        <w:rPr>
          <w:rFonts w:hAnsi="宋体"/>
          <w:sz w:val="24"/>
          <w:szCs w:val="24"/>
        </w:rPr>
        <w:t>(</w:t>
      </w:r>
      <w:r>
        <w:rPr>
          <w:rFonts w:hint="eastAsia" w:hAnsi="宋体"/>
          <w:sz w:val="24"/>
          <w:szCs w:val="24"/>
        </w:rPr>
        <w:t>盖章</w:t>
      </w:r>
      <w:r>
        <w:rPr>
          <w:rFonts w:hAnsi="宋体"/>
          <w:sz w:val="24"/>
          <w:szCs w:val="24"/>
        </w:rPr>
        <w:t>)</w:t>
      </w:r>
    </w:p>
    <w:p w14:paraId="14F97EB0">
      <w:pPr>
        <w:pStyle w:val="11"/>
        <w:spacing w:line="480" w:lineRule="auto"/>
        <w:ind w:firstLine="360" w:firstLineChars="150"/>
        <w:rPr>
          <w:rFonts w:hAnsi="宋体"/>
          <w:sz w:val="24"/>
          <w:szCs w:val="24"/>
        </w:rPr>
      </w:pPr>
      <w:r>
        <w:rPr>
          <w:rFonts w:hint="eastAsia" w:hAnsi="宋体"/>
          <w:sz w:val="24"/>
          <w:szCs w:val="24"/>
        </w:rPr>
        <w:t>法定代表人：</w:t>
      </w:r>
      <w:r>
        <w:rPr>
          <w:rFonts w:hAnsi="宋体"/>
          <w:sz w:val="24"/>
          <w:szCs w:val="24"/>
        </w:rPr>
        <w:t>(</w:t>
      </w:r>
      <w:r>
        <w:rPr>
          <w:rFonts w:hint="eastAsia" w:hAnsi="宋体"/>
          <w:sz w:val="24"/>
          <w:szCs w:val="24"/>
        </w:rPr>
        <w:t>签字</w:t>
      </w:r>
      <w:r>
        <w:rPr>
          <w:rFonts w:hAnsi="宋体"/>
          <w:sz w:val="24"/>
          <w:szCs w:val="24"/>
        </w:rPr>
        <w:t>)</w:t>
      </w:r>
    </w:p>
    <w:p w14:paraId="427DECAC">
      <w:pPr>
        <w:pStyle w:val="11"/>
        <w:spacing w:line="480" w:lineRule="auto"/>
        <w:ind w:firstLine="360" w:firstLineChars="150"/>
        <w:rPr>
          <w:rFonts w:hAnsi="宋体"/>
          <w:sz w:val="24"/>
          <w:szCs w:val="24"/>
        </w:rPr>
      </w:pPr>
    </w:p>
    <w:p w14:paraId="73ED47F1">
      <w:pPr>
        <w:pStyle w:val="11"/>
        <w:spacing w:line="480" w:lineRule="auto"/>
        <w:ind w:firstLine="6600" w:firstLineChars="2750"/>
        <w:rPr>
          <w:rFonts w:hAnsi="宋体"/>
          <w:sz w:val="24"/>
          <w:szCs w:val="24"/>
        </w:rPr>
      </w:pPr>
      <w:r>
        <w:rPr>
          <w:rFonts w:hint="eastAsia" w:hAnsi="宋体"/>
          <w:sz w:val="24"/>
          <w:szCs w:val="24"/>
        </w:rPr>
        <w:t>日期： 年   月    日</w:t>
      </w:r>
    </w:p>
    <w:p w14:paraId="70EDD100">
      <w:pPr>
        <w:pStyle w:val="11"/>
        <w:spacing w:line="480" w:lineRule="auto"/>
        <w:ind w:firstLine="420"/>
        <w:rPr>
          <w:rFonts w:hAnsi="宋体"/>
          <w:sz w:val="24"/>
          <w:szCs w:val="24"/>
        </w:rPr>
      </w:pPr>
    </w:p>
    <w:p w14:paraId="6E77CEEE">
      <w:pPr>
        <w:pStyle w:val="11"/>
        <w:spacing w:line="480" w:lineRule="auto"/>
        <w:ind w:firstLine="420"/>
        <w:rPr>
          <w:rFonts w:hAnsi="宋体"/>
          <w:sz w:val="24"/>
          <w:szCs w:val="24"/>
        </w:rPr>
      </w:pPr>
      <w:r>
        <w:rPr>
          <w:rFonts w:hint="eastAsia" w:hAnsi="宋体"/>
          <w:sz w:val="24"/>
          <w:szCs w:val="24"/>
        </w:rPr>
        <w:t>代理人姓名：签字：</w:t>
      </w:r>
    </w:p>
    <w:p w14:paraId="054A69E4">
      <w:pPr>
        <w:pStyle w:val="11"/>
        <w:spacing w:line="480" w:lineRule="auto"/>
        <w:ind w:firstLine="360" w:firstLineChars="150"/>
        <w:rPr>
          <w:rFonts w:hAnsi="宋体"/>
          <w:sz w:val="24"/>
          <w:szCs w:val="24"/>
        </w:rPr>
      </w:pPr>
      <w:r>
        <w:rPr>
          <w:rFonts w:hint="eastAsia" w:hAnsi="宋体"/>
          <w:sz w:val="24"/>
          <w:szCs w:val="24"/>
        </w:rPr>
        <w:t>身份证复印件：</w:t>
      </w:r>
    </w:p>
    <w:p w14:paraId="12CCF2D3">
      <w:pPr>
        <w:spacing w:line="400" w:lineRule="exact"/>
        <w:ind w:firstLine="480" w:firstLineChars="200"/>
        <w:rPr>
          <w:rFonts w:ascii="宋体" w:hAnsi="宋体"/>
          <w:sz w:val="24"/>
        </w:rPr>
      </w:pPr>
    </w:p>
    <w:p w14:paraId="5B8C3575">
      <w:pPr>
        <w:spacing w:line="400" w:lineRule="exact"/>
        <w:rPr>
          <w:rFonts w:ascii="宋体" w:hAnsi="宋体"/>
          <w:sz w:val="28"/>
        </w:rPr>
      </w:pPr>
    </w:p>
    <w:p w14:paraId="2CEBBB2C">
      <w:pPr>
        <w:spacing w:line="400" w:lineRule="exact"/>
        <w:rPr>
          <w:rFonts w:ascii="宋体" w:hAnsi="宋体"/>
          <w:sz w:val="28"/>
        </w:rPr>
      </w:pPr>
    </w:p>
    <w:p w14:paraId="6A784F83">
      <w:pPr>
        <w:spacing w:line="500" w:lineRule="exact"/>
        <w:jc w:val="center"/>
        <w:rPr>
          <w:rFonts w:ascii="黑体" w:eastAsia="黑体"/>
          <w:b/>
          <w:bCs/>
          <w:sz w:val="36"/>
          <w:szCs w:val="36"/>
        </w:rPr>
      </w:pPr>
    </w:p>
    <w:p w14:paraId="248F4E33">
      <w:pPr>
        <w:pStyle w:val="11"/>
        <w:jc w:val="center"/>
        <w:rPr>
          <w:rFonts w:ascii="黑体" w:hAnsi="Times New Roman" w:eastAsia="黑体"/>
          <w:b/>
          <w:sz w:val="36"/>
        </w:rPr>
      </w:pPr>
    </w:p>
    <w:p w14:paraId="28B7CCCD">
      <w:pPr>
        <w:pStyle w:val="11"/>
        <w:jc w:val="center"/>
        <w:rPr>
          <w:rFonts w:ascii="黑体" w:hAnsi="Times New Roman" w:eastAsia="黑体"/>
          <w:b/>
          <w:sz w:val="36"/>
        </w:rPr>
      </w:pPr>
    </w:p>
    <w:p w14:paraId="2E3898E2">
      <w:pPr>
        <w:pStyle w:val="11"/>
        <w:jc w:val="center"/>
        <w:rPr>
          <w:rFonts w:ascii="黑体" w:hAnsi="Times New Roman" w:eastAsia="黑体"/>
          <w:b/>
          <w:sz w:val="36"/>
        </w:rPr>
      </w:pPr>
    </w:p>
    <w:p w14:paraId="4C4DE9B9">
      <w:pPr>
        <w:pStyle w:val="11"/>
        <w:rPr>
          <w:rFonts w:ascii="黑体" w:eastAsia="黑体"/>
          <w:b/>
          <w:bCs/>
          <w:sz w:val="36"/>
          <w:szCs w:val="36"/>
        </w:rPr>
      </w:pPr>
    </w:p>
    <w:p w14:paraId="640C2CF4">
      <w:pPr>
        <w:pStyle w:val="12"/>
        <w:widowControl/>
        <w:spacing w:line="540" w:lineRule="exact"/>
        <w:ind w:left="0" w:leftChars="0"/>
        <w:jc w:val="center"/>
        <w:rPr>
          <w:rFonts w:ascii="宋体" w:hAnsi="宋体" w:eastAsia="宋体"/>
          <w:sz w:val="36"/>
          <w:szCs w:val="36"/>
        </w:rPr>
      </w:pPr>
      <w:r>
        <w:rPr>
          <w:rFonts w:hint="eastAsia" w:ascii="宋体" w:hAnsi="宋体"/>
          <w:b w:val="0"/>
          <w:bCs w:val="0"/>
          <w:szCs w:val="32"/>
        </w:rPr>
        <w:br w:type="page"/>
      </w:r>
      <w:r>
        <w:rPr>
          <w:rFonts w:hint="eastAsia" w:ascii="宋体" w:hAnsi="宋体" w:eastAsia="宋体"/>
          <w:sz w:val="36"/>
          <w:szCs w:val="36"/>
        </w:rPr>
        <w:t>承诺书(一)</w:t>
      </w:r>
    </w:p>
    <w:p w14:paraId="4225892C">
      <w:pPr>
        <w:spacing w:line="540" w:lineRule="exact"/>
      </w:pPr>
    </w:p>
    <w:p w14:paraId="350C327B">
      <w:pPr>
        <w:adjustRightInd w:val="0"/>
        <w:snapToGrid w:val="0"/>
        <w:spacing w:line="440" w:lineRule="exact"/>
        <w:ind w:left="424" w:leftChars="202" w:right="531" w:rightChars="253" w:firstLine="424" w:firstLineChars="177"/>
        <w:contextualSpacing/>
        <w:rPr>
          <w:sz w:val="24"/>
        </w:rPr>
      </w:pPr>
      <w:r>
        <w:rPr>
          <w:rFonts w:hint="eastAsia"/>
          <w:sz w:val="24"/>
        </w:rPr>
        <w:t>致：</w:t>
      </w:r>
      <w:r>
        <w:rPr>
          <w:rFonts w:hint="eastAsia"/>
          <w:sz w:val="24"/>
          <w:u w:val="single"/>
        </w:rPr>
        <w:t>扬州大学附属医院</w:t>
      </w:r>
      <w:r>
        <w:rPr>
          <w:rFonts w:hint="eastAsia"/>
          <w:sz w:val="24"/>
        </w:rPr>
        <w:t>（招标人名称）</w:t>
      </w:r>
    </w:p>
    <w:p w14:paraId="2FF955D4">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我公司自愿参加贵单位</w:t>
      </w:r>
      <w:r>
        <w:rPr>
          <w:rFonts w:hint="eastAsia" w:ascii="宋体" w:hAnsi="宋体"/>
          <w:b/>
          <w:sz w:val="24"/>
        </w:rPr>
        <w:t xml:space="preserve">                        </w:t>
      </w:r>
      <w:r>
        <w:rPr>
          <w:rFonts w:hint="eastAsia" w:ascii="宋体" w:hAnsi="宋体"/>
          <w:sz w:val="24"/>
        </w:rPr>
        <w:t>项目的院内公开谈判，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14:paraId="0B5E61E3">
      <w:pPr>
        <w:adjustRightInd w:val="0"/>
        <w:snapToGrid w:val="0"/>
        <w:spacing w:line="440" w:lineRule="exact"/>
        <w:ind w:left="424" w:leftChars="202" w:right="531" w:rightChars="253" w:firstLine="424" w:firstLineChars="177"/>
        <w:contextualSpacing/>
        <w:rPr>
          <w:sz w:val="24"/>
        </w:rPr>
      </w:pPr>
      <w:r>
        <w:rPr>
          <w:rFonts w:hint="eastAsia" w:ascii="宋体" w:hAnsi="宋体"/>
          <w:sz w:val="24"/>
        </w:rPr>
        <w:t>本公司递交的资格审查申请书中的内容没有隐瞒、虚假、伪造等弄虚作假行为。</w:t>
      </w:r>
    </w:p>
    <w:p w14:paraId="3EDDF9F6">
      <w:pPr>
        <w:pStyle w:val="12"/>
        <w:widowControl/>
        <w:adjustRightInd w:val="0"/>
        <w:snapToGrid w:val="0"/>
        <w:spacing w:line="440" w:lineRule="exact"/>
        <w:ind w:left="424" w:leftChars="202" w:right="531" w:rightChars="253" w:firstLine="426" w:firstLineChars="177"/>
        <w:contextualSpacing/>
        <w:jc w:val="left"/>
        <w:rPr>
          <w:rFonts w:ascii="宋体" w:hAnsi="宋体" w:eastAsia="宋体"/>
          <w:sz w:val="24"/>
        </w:rPr>
      </w:pPr>
    </w:p>
    <w:p w14:paraId="64CB2A8E">
      <w:pPr>
        <w:pStyle w:val="12"/>
        <w:widowControl/>
        <w:adjustRightInd w:val="0"/>
        <w:snapToGrid w:val="0"/>
        <w:spacing w:line="700" w:lineRule="exact"/>
        <w:ind w:left="424" w:leftChars="202" w:right="531" w:rightChars="253" w:firstLine="424" w:firstLineChars="177"/>
        <w:contextualSpacing/>
        <w:jc w:val="left"/>
        <w:rPr>
          <w:rFonts w:ascii="宋体" w:hAnsi="宋体" w:eastAsia="宋体" w:cs="宋体"/>
          <w:b w:val="0"/>
          <w:sz w:val="24"/>
        </w:rPr>
      </w:pPr>
      <w:r>
        <w:rPr>
          <w:rFonts w:hint="eastAsia" w:ascii="宋体" w:hAnsi="宋体" w:eastAsia="宋体" w:cs="宋体"/>
          <w:b w:val="0"/>
          <w:sz w:val="24"/>
        </w:rPr>
        <w:t>单位：（公章）</w:t>
      </w:r>
    </w:p>
    <w:p w14:paraId="612C81C5">
      <w:pPr>
        <w:pStyle w:val="12"/>
        <w:widowControl/>
        <w:adjustRightInd w:val="0"/>
        <w:snapToGrid w:val="0"/>
        <w:spacing w:line="700" w:lineRule="exact"/>
        <w:ind w:left="424" w:leftChars="202" w:right="531" w:rightChars="253" w:firstLine="424" w:firstLineChars="177"/>
        <w:contextualSpacing/>
        <w:jc w:val="left"/>
        <w:rPr>
          <w:rFonts w:ascii="宋体" w:hAnsi="宋体" w:eastAsia="宋体" w:cs="宋体"/>
          <w:b w:val="0"/>
          <w:sz w:val="24"/>
        </w:rPr>
      </w:pPr>
      <w:r>
        <w:rPr>
          <w:rFonts w:hint="eastAsia" w:ascii="宋体" w:hAnsi="宋体" w:eastAsia="宋体" w:cs="宋体"/>
          <w:b w:val="0"/>
          <w:sz w:val="24"/>
        </w:rPr>
        <w:t>法定代表人签字：</w:t>
      </w:r>
    </w:p>
    <w:p w14:paraId="037B49E6">
      <w:pPr>
        <w:adjustRightInd w:val="0"/>
        <w:snapToGrid w:val="0"/>
        <w:spacing w:line="700" w:lineRule="exact"/>
        <w:ind w:left="424" w:leftChars="202" w:right="531" w:rightChars="253" w:firstLine="424" w:firstLineChars="177"/>
        <w:contextualSpacing/>
        <w:jc w:val="left"/>
        <w:rPr>
          <w:rFonts w:ascii="宋体" w:hAnsi="宋体" w:cs="宋体"/>
          <w:bCs/>
          <w:sz w:val="24"/>
        </w:rPr>
      </w:pPr>
      <w:r>
        <w:rPr>
          <w:rFonts w:hint="eastAsia" w:ascii="宋体" w:hAnsi="宋体" w:cs="宋体"/>
          <w:bCs/>
          <w:sz w:val="24"/>
        </w:rPr>
        <w:t>项目负责人签名：</w:t>
      </w:r>
    </w:p>
    <w:p w14:paraId="2BCE9C2D">
      <w:pPr>
        <w:adjustRightInd w:val="0"/>
        <w:snapToGrid w:val="0"/>
        <w:spacing w:line="700" w:lineRule="exact"/>
        <w:ind w:left="424" w:leftChars="202" w:right="531" w:rightChars="253" w:firstLine="424" w:firstLineChars="177"/>
        <w:contextualSpacing/>
        <w:rPr>
          <w:rFonts w:ascii="宋体" w:hAnsi="宋体"/>
          <w:sz w:val="24"/>
        </w:rPr>
      </w:pPr>
    </w:p>
    <w:p w14:paraId="304A36DA">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 xml:space="preserve">                                                      年   月   日</w:t>
      </w:r>
    </w:p>
    <w:p w14:paraId="2A270E22">
      <w:pPr>
        <w:pStyle w:val="12"/>
        <w:widowControl/>
        <w:spacing w:line="540" w:lineRule="exact"/>
        <w:ind w:left="5250" w:leftChars="0"/>
        <w:jc w:val="center"/>
        <w:rPr>
          <w:rFonts w:hAnsi="宋体"/>
          <w:szCs w:val="32"/>
        </w:rPr>
      </w:pPr>
    </w:p>
    <w:p w14:paraId="3755E606">
      <w:pPr>
        <w:pStyle w:val="12"/>
        <w:widowControl/>
        <w:spacing w:line="540" w:lineRule="exact"/>
        <w:ind w:left="5250" w:leftChars="0"/>
        <w:jc w:val="center"/>
        <w:rPr>
          <w:rFonts w:ascii="宋体" w:hAnsi="宋体" w:eastAsia="宋体"/>
          <w:szCs w:val="32"/>
        </w:rPr>
      </w:pPr>
    </w:p>
    <w:p w14:paraId="75664C71">
      <w:pPr>
        <w:pStyle w:val="12"/>
        <w:widowControl/>
        <w:spacing w:line="540" w:lineRule="exact"/>
        <w:ind w:left="5250" w:leftChars="0"/>
        <w:jc w:val="center"/>
        <w:rPr>
          <w:rFonts w:ascii="宋体" w:hAnsi="宋体" w:eastAsia="宋体"/>
          <w:szCs w:val="32"/>
        </w:rPr>
      </w:pPr>
    </w:p>
    <w:p w14:paraId="708F8A34">
      <w:pPr>
        <w:pStyle w:val="12"/>
        <w:widowControl/>
        <w:spacing w:line="540" w:lineRule="exact"/>
        <w:ind w:left="5250" w:leftChars="0"/>
        <w:jc w:val="center"/>
        <w:rPr>
          <w:rFonts w:ascii="宋体" w:hAnsi="宋体" w:eastAsia="宋体"/>
          <w:szCs w:val="32"/>
        </w:rPr>
      </w:pPr>
    </w:p>
    <w:p w14:paraId="4DB5D02C">
      <w:pPr>
        <w:pStyle w:val="12"/>
        <w:widowControl/>
        <w:spacing w:line="540" w:lineRule="exact"/>
        <w:ind w:left="5250" w:leftChars="0"/>
        <w:jc w:val="center"/>
        <w:rPr>
          <w:rFonts w:ascii="宋体" w:hAnsi="宋体" w:eastAsia="宋体"/>
          <w:szCs w:val="32"/>
        </w:rPr>
      </w:pPr>
    </w:p>
    <w:p w14:paraId="52FFF562">
      <w:pPr>
        <w:pStyle w:val="12"/>
        <w:widowControl/>
        <w:spacing w:line="540" w:lineRule="exact"/>
        <w:ind w:left="5250" w:leftChars="0"/>
        <w:jc w:val="center"/>
        <w:rPr>
          <w:rFonts w:ascii="宋体" w:hAnsi="宋体" w:eastAsia="宋体"/>
          <w:szCs w:val="32"/>
        </w:rPr>
      </w:pPr>
    </w:p>
    <w:p w14:paraId="4075A2CB">
      <w:pPr>
        <w:rPr>
          <w:rFonts w:ascii="宋体" w:hAnsi="宋体"/>
          <w:szCs w:val="32"/>
        </w:rPr>
      </w:pPr>
      <w:r>
        <w:rPr>
          <w:rFonts w:hint="eastAsia" w:ascii="宋体" w:hAnsi="宋体"/>
          <w:szCs w:val="32"/>
        </w:rPr>
        <w:br w:type="page"/>
      </w:r>
    </w:p>
    <w:p w14:paraId="5E851CAB">
      <w:pPr>
        <w:jc w:val="center"/>
        <w:rPr>
          <w:rFonts w:ascii="宋体" w:hAnsi="宋体"/>
          <w:b/>
          <w:sz w:val="36"/>
          <w:szCs w:val="36"/>
        </w:rPr>
      </w:pPr>
      <w:r>
        <w:rPr>
          <w:rFonts w:hint="eastAsia" w:ascii="宋体" w:hAnsi="宋体"/>
          <w:b/>
          <w:sz w:val="36"/>
          <w:szCs w:val="36"/>
        </w:rPr>
        <w:t>投标报价</w:t>
      </w:r>
    </w:p>
    <w:p w14:paraId="33A9AF1A">
      <w:pPr>
        <w:jc w:val="center"/>
        <w:rPr>
          <w:rFonts w:ascii="宋体" w:hAnsi="宋体"/>
          <w:b/>
          <w:sz w:val="24"/>
        </w:rPr>
      </w:pPr>
    </w:p>
    <w:tbl>
      <w:tblPr>
        <w:tblStyle w:val="23"/>
        <w:tblW w:w="4483" w:type="pct"/>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642"/>
        <w:gridCol w:w="2890"/>
        <w:gridCol w:w="2550"/>
      </w:tblGrid>
      <w:tr w14:paraId="0B3B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76" w:type="pct"/>
            <w:tcBorders>
              <w:top w:val="single" w:color="auto" w:sz="4" w:space="0"/>
              <w:left w:val="single" w:color="auto" w:sz="4" w:space="0"/>
              <w:bottom w:val="single" w:color="auto" w:sz="4" w:space="0"/>
              <w:right w:val="single" w:color="auto" w:sz="4" w:space="0"/>
            </w:tcBorders>
            <w:vAlign w:val="center"/>
          </w:tcPr>
          <w:p w14:paraId="0FAF5044">
            <w:pPr>
              <w:jc w:val="center"/>
              <w:rPr>
                <w:rFonts w:ascii="宋体" w:hAnsi="宋体"/>
                <w:b/>
                <w:sz w:val="28"/>
                <w:szCs w:val="28"/>
              </w:rPr>
            </w:pPr>
            <w:r>
              <w:rPr>
                <w:rFonts w:hint="eastAsia" w:ascii="宋体" w:hAnsi="宋体"/>
                <w:b/>
                <w:sz w:val="28"/>
                <w:szCs w:val="28"/>
              </w:rPr>
              <w:t>序号</w:t>
            </w:r>
          </w:p>
        </w:tc>
        <w:tc>
          <w:tcPr>
            <w:tcW w:w="1479" w:type="pct"/>
            <w:tcBorders>
              <w:top w:val="single" w:color="auto" w:sz="4" w:space="0"/>
              <w:left w:val="single" w:color="auto" w:sz="4" w:space="0"/>
              <w:bottom w:val="single" w:color="auto" w:sz="4" w:space="0"/>
              <w:right w:val="single" w:color="auto" w:sz="4" w:space="0"/>
            </w:tcBorders>
            <w:vAlign w:val="center"/>
          </w:tcPr>
          <w:p w14:paraId="53A6EFAF">
            <w:pPr>
              <w:jc w:val="center"/>
              <w:rPr>
                <w:rFonts w:ascii="宋体" w:hAnsi="宋体"/>
                <w:b/>
                <w:sz w:val="28"/>
                <w:szCs w:val="28"/>
              </w:rPr>
            </w:pPr>
            <w:r>
              <w:rPr>
                <w:rFonts w:hint="eastAsia" w:ascii="宋体" w:hAnsi="宋体"/>
                <w:b/>
                <w:sz w:val="28"/>
                <w:szCs w:val="28"/>
              </w:rPr>
              <w:t>项目内容</w:t>
            </w:r>
          </w:p>
        </w:tc>
        <w:tc>
          <w:tcPr>
            <w:tcW w:w="1618" w:type="pct"/>
            <w:tcBorders>
              <w:top w:val="single" w:color="auto" w:sz="4" w:space="0"/>
              <w:left w:val="single" w:color="auto" w:sz="4" w:space="0"/>
              <w:bottom w:val="single" w:color="auto" w:sz="4" w:space="0"/>
              <w:right w:val="single" w:color="auto" w:sz="4" w:space="0"/>
            </w:tcBorders>
            <w:vAlign w:val="center"/>
          </w:tcPr>
          <w:p w14:paraId="4645E224">
            <w:pPr>
              <w:jc w:val="center"/>
              <w:rPr>
                <w:rFonts w:ascii="宋体" w:hAnsi="宋体"/>
                <w:b/>
                <w:sz w:val="28"/>
                <w:szCs w:val="28"/>
              </w:rPr>
            </w:pPr>
            <w:r>
              <w:rPr>
                <w:rFonts w:hint="eastAsia" w:ascii="宋体" w:hAnsi="宋体"/>
                <w:b/>
                <w:sz w:val="28"/>
                <w:szCs w:val="28"/>
              </w:rPr>
              <w:t>投标内容</w:t>
            </w:r>
          </w:p>
        </w:tc>
        <w:tc>
          <w:tcPr>
            <w:tcW w:w="1428" w:type="pct"/>
            <w:tcBorders>
              <w:top w:val="single" w:color="auto" w:sz="4" w:space="0"/>
              <w:left w:val="single" w:color="auto" w:sz="4" w:space="0"/>
              <w:bottom w:val="single" w:color="auto" w:sz="4" w:space="0"/>
              <w:right w:val="single" w:color="auto" w:sz="4" w:space="0"/>
            </w:tcBorders>
            <w:vAlign w:val="center"/>
          </w:tcPr>
          <w:p w14:paraId="0201698E">
            <w:pPr>
              <w:jc w:val="center"/>
              <w:rPr>
                <w:rFonts w:ascii="宋体" w:hAnsi="宋体"/>
                <w:b/>
                <w:sz w:val="28"/>
                <w:szCs w:val="28"/>
              </w:rPr>
            </w:pPr>
            <w:r>
              <w:rPr>
                <w:rFonts w:hint="eastAsia" w:ascii="宋体" w:hAnsi="宋体"/>
                <w:b/>
                <w:sz w:val="28"/>
                <w:szCs w:val="28"/>
              </w:rPr>
              <w:t>报价</w:t>
            </w:r>
          </w:p>
        </w:tc>
      </w:tr>
      <w:tr w14:paraId="114F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76EDB01D">
            <w:pPr>
              <w:jc w:val="center"/>
              <w:rPr>
                <w:rFonts w:ascii="宋体" w:hAnsi="宋体"/>
                <w:sz w:val="24"/>
              </w:rPr>
            </w:pPr>
            <w:r>
              <w:rPr>
                <w:rFonts w:hint="eastAsia" w:ascii="宋体" w:hAnsi="宋体"/>
                <w:sz w:val="24"/>
              </w:rPr>
              <w:t>1</w:t>
            </w:r>
          </w:p>
        </w:tc>
        <w:tc>
          <w:tcPr>
            <w:tcW w:w="1479" w:type="pct"/>
            <w:tcBorders>
              <w:top w:val="single" w:color="auto" w:sz="4" w:space="0"/>
              <w:left w:val="single" w:color="auto" w:sz="4" w:space="0"/>
              <w:bottom w:val="single" w:color="auto" w:sz="4" w:space="0"/>
              <w:right w:val="single" w:color="auto" w:sz="4" w:space="0"/>
            </w:tcBorders>
            <w:vAlign w:val="center"/>
          </w:tcPr>
          <w:p w14:paraId="178A3433">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C0153D5">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49F9DAE9">
            <w:pPr>
              <w:jc w:val="center"/>
              <w:rPr>
                <w:rFonts w:ascii="宋体" w:hAnsi="宋体"/>
                <w:sz w:val="24"/>
              </w:rPr>
            </w:pPr>
          </w:p>
        </w:tc>
      </w:tr>
      <w:tr w14:paraId="3E873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2B2D019">
            <w:pPr>
              <w:jc w:val="center"/>
              <w:rPr>
                <w:rFonts w:ascii="宋体" w:hAnsi="宋体"/>
                <w:sz w:val="24"/>
              </w:rPr>
            </w:pPr>
            <w:r>
              <w:rPr>
                <w:rFonts w:hint="eastAsia" w:ascii="宋体" w:hAnsi="宋体"/>
                <w:sz w:val="24"/>
              </w:rPr>
              <w:t>2</w:t>
            </w:r>
          </w:p>
        </w:tc>
        <w:tc>
          <w:tcPr>
            <w:tcW w:w="1479" w:type="pct"/>
            <w:tcBorders>
              <w:top w:val="single" w:color="auto" w:sz="4" w:space="0"/>
              <w:left w:val="single" w:color="auto" w:sz="4" w:space="0"/>
              <w:bottom w:val="single" w:color="auto" w:sz="4" w:space="0"/>
              <w:right w:val="single" w:color="auto" w:sz="4" w:space="0"/>
            </w:tcBorders>
            <w:vAlign w:val="center"/>
          </w:tcPr>
          <w:p w14:paraId="60E639DA">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7B465A2D">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4FE6576">
            <w:pPr>
              <w:jc w:val="center"/>
              <w:rPr>
                <w:rFonts w:ascii="宋体" w:hAnsi="宋体"/>
                <w:sz w:val="24"/>
              </w:rPr>
            </w:pPr>
          </w:p>
        </w:tc>
      </w:tr>
      <w:tr w14:paraId="29C6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6433ACA2">
            <w:pPr>
              <w:jc w:val="center"/>
              <w:rPr>
                <w:rFonts w:ascii="宋体" w:hAnsi="宋体"/>
                <w:sz w:val="24"/>
              </w:rPr>
            </w:pPr>
            <w:r>
              <w:rPr>
                <w:rFonts w:hint="eastAsia" w:ascii="宋体" w:hAnsi="宋体"/>
                <w:sz w:val="24"/>
              </w:rPr>
              <w:t>3</w:t>
            </w:r>
          </w:p>
        </w:tc>
        <w:tc>
          <w:tcPr>
            <w:tcW w:w="1479" w:type="pct"/>
            <w:tcBorders>
              <w:top w:val="single" w:color="auto" w:sz="4" w:space="0"/>
              <w:left w:val="single" w:color="auto" w:sz="4" w:space="0"/>
              <w:bottom w:val="single" w:color="auto" w:sz="4" w:space="0"/>
              <w:right w:val="single" w:color="auto" w:sz="4" w:space="0"/>
            </w:tcBorders>
            <w:vAlign w:val="center"/>
          </w:tcPr>
          <w:p w14:paraId="2D72A23D">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1C6BA68">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FE9DCC1">
            <w:pPr>
              <w:jc w:val="center"/>
              <w:rPr>
                <w:rFonts w:ascii="宋体" w:hAnsi="宋体"/>
                <w:sz w:val="24"/>
              </w:rPr>
            </w:pPr>
          </w:p>
        </w:tc>
      </w:tr>
      <w:tr w14:paraId="2ABAF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90FB382">
            <w:pPr>
              <w:jc w:val="center"/>
              <w:rPr>
                <w:rFonts w:ascii="宋体" w:hAnsi="宋体"/>
                <w:sz w:val="24"/>
              </w:rPr>
            </w:pPr>
            <w:r>
              <w:rPr>
                <w:rFonts w:hint="eastAsia" w:ascii="宋体" w:hAnsi="宋体"/>
                <w:sz w:val="24"/>
              </w:rPr>
              <w:t>4</w:t>
            </w:r>
          </w:p>
        </w:tc>
        <w:tc>
          <w:tcPr>
            <w:tcW w:w="1479" w:type="pct"/>
            <w:tcBorders>
              <w:top w:val="single" w:color="auto" w:sz="4" w:space="0"/>
              <w:left w:val="single" w:color="auto" w:sz="4" w:space="0"/>
              <w:bottom w:val="single" w:color="auto" w:sz="4" w:space="0"/>
              <w:right w:val="single" w:color="auto" w:sz="4" w:space="0"/>
            </w:tcBorders>
            <w:vAlign w:val="center"/>
          </w:tcPr>
          <w:p w14:paraId="7A6657F1">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4348B0F6">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6B9A34F">
            <w:pPr>
              <w:jc w:val="left"/>
              <w:rPr>
                <w:rFonts w:ascii="宋体" w:hAnsi="宋体"/>
                <w:sz w:val="24"/>
              </w:rPr>
            </w:pPr>
          </w:p>
        </w:tc>
      </w:tr>
      <w:tr w14:paraId="16216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6148742C">
            <w:pPr>
              <w:jc w:val="center"/>
              <w:rPr>
                <w:rFonts w:ascii="宋体" w:hAnsi="宋体"/>
                <w:sz w:val="24"/>
              </w:rPr>
            </w:pPr>
            <w:r>
              <w:rPr>
                <w:rFonts w:hint="eastAsia" w:ascii="宋体" w:hAnsi="宋体"/>
                <w:sz w:val="24"/>
              </w:rPr>
              <w:t>5</w:t>
            </w:r>
          </w:p>
        </w:tc>
        <w:tc>
          <w:tcPr>
            <w:tcW w:w="1479" w:type="pct"/>
            <w:tcBorders>
              <w:top w:val="single" w:color="auto" w:sz="4" w:space="0"/>
              <w:left w:val="single" w:color="auto" w:sz="4" w:space="0"/>
              <w:bottom w:val="single" w:color="auto" w:sz="4" w:space="0"/>
              <w:right w:val="single" w:color="auto" w:sz="4" w:space="0"/>
            </w:tcBorders>
            <w:vAlign w:val="center"/>
          </w:tcPr>
          <w:p w14:paraId="339D9D18">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40A064C8">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644715EF">
            <w:pPr>
              <w:jc w:val="left"/>
              <w:rPr>
                <w:rFonts w:ascii="宋体" w:hAnsi="宋体"/>
                <w:sz w:val="24"/>
              </w:rPr>
            </w:pPr>
          </w:p>
        </w:tc>
      </w:tr>
      <w:tr w14:paraId="391E1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1A151FC1">
            <w:pPr>
              <w:jc w:val="center"/>
              <w:rPr>
                <w:rFonts w:ascii="宋体" w:hAnsi="宋体"/>
                <w:sz w:val="24"/>
              </w:rPr>
            </w:pPr>
            <w:r>
              <w:rPr>
                <w:rFonts w:hint="eastAsia" w:ascii="宋体" w:hAnsi="宋体"/>
                <w:sz w:val="24"/>
              </w:rPr>
              <w:t>6</w:t>
            </w:r>
          </w:p>
        </w:tc>
        <w:tc>
          <w:tcPr>
            <w:tcW w:w="1479" w:type="pct"/>
            <w:tcBorders>
              <w:top w:val="single" w:color="auto" w:sz="4" w:space="0"/>
              <w:left w:val="single" w:color="auto" w:sz="4" w:space="0"/>
              <w:bottom w:val="single" w:color="auto" w:sz="4" w:space="0"/>
              <w:right w:val="single" w:color="auto" w:sz="4" w:space="0"/>
            </w:tcBorders>
            <w:vAlign w:val="center"/>
          </w:tcPr>
          <w:p w14:paraId="376FF745">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5D6DE8D5">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C8A1A41">
            <w:pPr>
              <w:jc w:val="left"/>
              <w:rPr>
                <w:rFonts w:ascii="宋体" w:hAnsi="宋体"/>
                <w:sz w:val="24"/>
              </w:rPr>
            </w:pPr>
          </w:p>
        </w:tc>
      </w:tr>
      <w:tr w14:paraId="063E6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529F3ED1">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4239C0FA">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3CAD039F">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470CB91">
            <w:pPr>
              <w:jc w:val="left"/>
              <w:rPr>
                <w:rFonts w:ascii="宋体" w:hAnsi="宋体"/>
                <w:sz w:val="24"/>
              </w:rPr>
            </w:pPr>
          </w:p>
        </w:tc>
      </w:tr>
      <w:tr w14:paraId="1D1F2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23FF139F">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0BA08578">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82D03BE">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61F55DDF">
            <w:pPr>
              <w:jc w:val="center"/>
              <w:rPr>
                <w:rFonts w:ascii="宋体" w:hAnsi="宋体"/>
                <w:sz w:val="24"/>
              </w:rPr>
            </w:pPr>
          </w:p>
        </w:tc>
      </w:tr>
      <w:tr w14:paraId="51A6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F8DA5E3">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0821D47A">
            <w:pP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14E10C16">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18997193">
            <w:pPr>
              <w:jc w:val="center"/>
              <w:rPr>
                <w:rFonts w:ascii="宋体" w:hAnsi="宋体"/>
                <w:sz w:val="24"/>
              </w:rPr>
            </w:pPr>
          </w:p>
        </w:tc>
      </w:tr>
      <w:tr w14:paraId="2765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0870FBD8">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717A30C2">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77AD7184">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3E8DCA6">
            <w:pPr>
              <w:jc w:val="center"/>
              <w:rPr>
                <w:rFonts w:ascii="宋体" w:hAnsi="宋体"/>
                <w:sz w:val="24"/>
              </w:rPr>
            </w:pPr>
          </w:p>
        </w:tc>
      </w:tr>
      <w:tr w14:paraId="06C2E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015EAE39">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284E638D">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624DDD75">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6035B08C">
            <w:pPr>
              <w:jc w:val="center"/>
              <w:rPr>
                <w:rFonts w:ascii="宋体" w:hAnsi="宋体"/>
                <w:sz w:val="24"/>
              </w:rPr>
            </w:pPr>
          </w:p>
        </w:tc>
      </w:tr>
      <w:tr w14:paraId="70833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7E3F3C4D">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5AF94F5B">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96639CA">
            <w:pPr>
              <w:jc w:val="center"/>
              <w:rPr>
                <w:rFonts w:ascii="宋体" w:hAnsi="宋体"/>
                <w:sz w:val="24"/>
              </w:rPr>
            </w:pPr>
          </w:p>
          <w:p w14:paraId="51C3CB28">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tcPr>
          <w:p w14:paraId="5F559007">
            <w:pPr>
              <w:jc w:val="center"/>
              <w:rPr>
                <w:rFonts w:ascii="宋体" w:hAnsi="宋体"/>
                <w:sz w:val="24"/>
              </w:rPr>
            </w:pPr>
          </w:p>
        </w:tc>
      </w:tr>
      <w:tr w14:paraId="3378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74B6002D">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0531B4AA">
            <w:pPr>
              <w:jc w:val="center"/>
              <w:rPr>
                <w:rFonts w:ascii="宋体" w:hAnsi="宋体"/>
                <w:sz w:val="24"/>
              </w:rPr>
            </w:pPr>
            <w:r>
              <w:rPr>
                <w:rFonts w:hint="eastAsia" w:ascii="宋体" w:hAnsi="宋体"/>
                <w:sz w:val="24"/>
              </w:rPr>
              <w:t>其他条件</w:t>
            </w:r>
          </w:p>
        </w:tc>
        <w:tc>
          <w:tcPr>
            <w:tcW w:w="3046" w:type="pct"/>
            <w:gridSpan w:val="2"/>
            <w:tcBorders>
              <w:top w:val="single" w:color="auto" w:sz="4" w:space="0"/>
              <w:left w:val="single" w:color="auto" w:sz="4" w:space="0"/>
              <w:bottom w:val="single" w:color="auto" w:sz="4" w:space="0"/>
              <w:right w:val="single" w:color="auto" w:sz="4" w:space="0"/>
            </w:tcBorders>
            <w:vAlign w:val="center"/>
          </w:tcPr>
          <w:p w14:paraId="5EEC8A0A">
            <w:pPr>
              <w:jc w:val="center"/>
              <w:rPr>
                <w:rFonts w:ascii="宋体" w:hAnsi="宋体"/>
                <w:b/>
                <w:sz w:val="24"/>
              </w:rPr>
            </w:pPr>
          </w:p>
        </w:tc>
      </w:tr>
    </w:tbl>
    <w:p w14:paraId="32282B7B">
      <w:pPr>
        <w:jc w:val="center"/>
        <w:rPr>
          <w:rFonts w:ascii="宋体" w:hAnsi="宋体"/>
          <w:b/>
          <w:sz w:val="24"/>
        </w:rPr>
      </w:pPr>
    </w:p>
    <w:p w14:paraId="4A18DE4E">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投标人（盖章）：</w:t>
      </w:r>
    </w:p>
    <w:p w14:paraId="37154142">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法定代表人或委托代理人（签字）：</w:t>
      </w:r>
    </w:p>
    <w:p w14:paraId="45756288">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日  期：</w:t>
      </w:r>
    </w:p>
    <w:p w14:paraId="4351E847">
      <w:pPr>
        <w:jc w:val="center"/>
        <w:rPr>
          <w:rFonts w:ascii="宋体" w:hAnsi="宋体"/>
          <w:b/>
          <w:sz w:val="24"/>
        </w:rPr>
      </w:pPr>
    </w:p>
    <w:p w14:paraId="3848C2B6">
      <w:pPr>
        <w:jc w:val="center"/>
        <w:rPr>
          <w:rFonts w:ascii="宋体" w:hAnsi="宋体"/>
          <w:b/>
          <w:sz w:val="24"/>
        </w:rPr>
      </w:pPr>
    </w:p>
    <w:p w14:paraId="5A628E91">
      <w:pPr>
        <w:rPr>
          <w:rFonts w:ascii="宋体" w:hAnsi="宋体"/>
          <w:b/>
          <w:sz w:val="24"/>
        </w:rPr>
      </w:pPr>
    </w:p>
    <w:p w14:paraId="12043156">
      <w:pPr>
        <w:jc w:val="center"/>
        <w:rPr>
          <w:rFonts w:ascii="宋体" w:hAnsi="宋体"/>
          <w:b/>
          <w:bCs/>
          <w:sz w:val="36"/>
          <w:szCs w:val="36"/>
        </w:rPr>
      </w:pPr>
      <w:r>
        <w:rPr>
          <w:rFonts w:hint="eastAsia" w:ascii="宋体" w:hAnsi="宋体"/>
          <w:b/>
          <w:bCs/>
          <w:sz w:val="36"/>
          <w:szCs w:val="36"/>
        </w:rPr>
        <w:t>供应商廉洁自律承诺书</w:t>
      </w:r>
    </w:p>
    <w:p w14:paraId="45E56FDB">
      <w:pPr>
        <w:rPr>
          <w:rFonts w:ascii="楷体_GB2312" w:eastAsia="楷体_GB2312"/>
        </w:rPr>
      </w:pPr>
    </w:p>
    <w:p w14:paraId="0E010691">
      <w:pPr>
        <w:pStyle w:val="13"/>
        <w:adjustRightInd w:val="0"/>
        <w:snapToGrid w:val="0"/>
        <w:spacing w:line="440" w:lineRule="exact"/>
        <w:ind w:left="424" w:leftChars="202" w:right="531" w:rightChars="253" w:firstLine="424" w:firstLineChars="177"/>
        <w:contextualSpacing/>
        <w:rPr>
          <w:rFonts w:ascii="宋体" w:hAnsi="宋体"/>
          <w:bCs/>
          <w:sz w:val="24"/>
        </w:rPr>
      </w:pPr>
      <w:r>
        <w:rPr>
          <w:rFonts w:hint="eastAsia" w:ascii="宋体" w:hAnsi="宋体"/>
          <w:bCs/>
          <w:sz w:val="24"/>
        </w:rPr>
        <w:t>扬州大学附属医院省健康平台数据上报项目院内公开谈判是实行公开、公平、公正的阳光工程，给予了每个供应商平等竞争的机会。作为参与此次竞争性谈判活动的承包商,我公司现郑重作出以下承诺：</w:t>
      </w:r>
    </w:p>
    <w:p w14:paraId="5865B2A1">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一、遵守《中华人民共和国政府采购法》及省、市有关政府采购的各项法律、法规和制度以及《扬州大学采购管理暂行办法》的规定。</w:t>
      </w:r>
    </w:p>
    <w:p w14:paraId="5082AF0B">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二、客观真实反映自身情况，按规定接受采购供应商资格审查,不提供虚假材料，不夸大自身技术和提供服务的能力。</w:t>
      </w:r>
    </w:p>
    <w:p w14:paraId="408209B2">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三、以合法正当的手段参与采购的公平竞争。不与采购人、其他供应商或者采购代理机构恶意串通，不以不正当手段诋毁、排挤其他供应商，不向采购人、评审机构行贿或者提供其他不正当利益。</w:t>
      </w:r>
    </w:p>
    <w:p w14:paraId="57BABD31">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四、在采购活动中，认真履行规定义务,包括:遵守采购程序，按要求编写投标、响应文件，并保证投标、响应文件内容的真实可靠；按时递交投标、响应文件；在评标、谈判现场遵守相关纪律，不影响正常的采购秩序。</w:t>
      </w:r>
    </w:p>
    <w:p w14:paraId="31F8DE3D">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五、自觉接受采购监督管理部门及其他相关部门的监督检查。</w:t>
      </w:r>
    </w:p>
    <w:p w14:paraId="3372910B">
      <w:pPr>
        <w:pStyle w:val="13"/>
        <w:adjustRightInd w:val="0"/>
        <w:snapToGrid w:val="0"/>
        <w:spacing w:line="440" w:lineRule="exact"/>
        <w:ind w:left="424" w:leftChars="202" w:right="531" w:rightChars="253" w:firstLine="426" w:firstLineChars="177"/>
        <w:contextualSpacing/>
        <w:rPr>
          <w:rFonts w:ascii="宋体" w:hAnsi="宋体"/>
          <w:b/>
          <w:bCs/>
          <w:sz w:val="24"/>
        </w:rPr>
      </w:pPr>
      <w:r>
        <w:rPr>
          <w:rFonts w:hint="eastAsia" w:ascii="宋体" w:hAnsi="宋体"/>
          <w:b/>
          <w:bCs/>
          <w:sz w:val="24"/>
        </w:rPr>
        <w:t>如违反以上承诺，我公司愿承担一切法律责任，并接受采购监督管理部门及其他相关部门依法作出的处罚。</w:t>
      </w:r>
    </w:p>
    <w:p w14:paraId="4D332664">
      <w:pPr>
        <w:pStyle w:val="13"/>
        <w:adjustRightInd w:val="0"/>
        <w:snapToGrid w:val="0"/>
        <w:spacing w:line="440" w:lineRule="exact"/>
        <w:ind w:left="424" w:leftChars="202" w:right="531" w:rightChars="253" w:firstLine="424" w:firstLineChars="177"/>
        <w:contextualSpacing/>
        <w:rPr>
          <w:rFonts w:ascii="宋体" w:hAnsi="宋体"/>
          <w:sz w:val="24"/>
        </w:rPr>
      </w:pPr>
    </w:p>
    <w:p w14:paraId="3E54AA89">
      <w:pPr>
        <w:adjustRightInd w:val="0"/>
        <w:snapToGrid w:val="0"/>
        <w:spacing w:line="440" w:lineRule="exact"/>
        <w:ind w:left="424" w:leftChars="202" w:right="531" w:rightChars="253" w:firstLine="424" w:firstLineChars="177"/>
        <w:contextualSpacing/>
        <w:rPr>
          <w:rFonts w:ascii="宋体" w:hAnsi="宋体"/>
          <w:sz w:val="24"/>
        </w:rPr>
      </w:pPr>
    </w:p>
    <w:p w14:paraId="511F2C4D">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承诺单位（盖章）</w:t>
      </w:r>
    </w:p>
    <w:p w14:paraId="33F35A58">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法定代表人（授权代表签字）：</w:t>
      </w:r>
    </w:p>
    <w:p w14:paraId="19DDA9AE">
      <w:pPr>
        <w:pStyle w:val="9"/>
        <w:adjustRightInd w:val="0"/>
        <w:snapToGrid w:val="0"/>
        <w:spacing w:line="440" w:lineRule="exact"/>
        <w:ind w:left="424" w:leftChars="202" w:right="531" w:rightChars="253" w:firstLine="424" w:firstLineChars="177"/>
        <w:contextualSpacing/>
        <w:rPr>
          <w:rFonts w:ascii="宋体" w:hAnsi="宋体"/>
          <w:sz w:val="24"/>
          <w:highlight w:val="none"/>
        </w:rPr>
      </w:pPr>
      <w:r>
        <w:rPr>
          <w:rFonts w:hint="eastAsia" w:ascii="宋体" w:hAnsi="宋体"/>
          <w:sz w:val="24"/>
          <w:highlight w:val="none"/>
        </w:rPr>
        <w:t>202</w:t>
      </w:r>
      <w:r>
        <w:rPr>
          <w:rFonts w:ascii="宋体" w:hAnsi="宋体"/>
          <w:sz w:val="24"/>
          <w:highlight w:val="none"/>
        </w:rPr>
        <w:t>6</w:t>
      </w:r>
      <w:r>
        <w:rPr>
          <w:rFonts w:hint="eastAsia" w:ascii="宋体" w:hAnsi="宋体"/>
          <w:sz w:val="24"/>
          <w:highlight w:val="none"/>
        </w:rPr>
        <w:t>年    月   日</w:t>
      </w:r>
    </w:p>
    <w:p w14:paraId="67C3252A">
      <w:pPr>
        <w:jc w:val="center"/>
        <w:rPr>
          <w:rFonts w:ascii="宋体" w:hAnsi="宋体"/>
          <w:b/>
          <w:sz w:val="24"/>
        </w:rPr>
      </w:pPr>
    </w:p>
    <w:p w14:paraId="4475BBDC">
      <w:pPr>
        <w:rPr>
          <w:sz w:val="24"/>
        </w:rPr>
      </w:pPr>
    </w:p>
    <w:sectPr>
      <w:footerReference r:id="rId3" w:type="default"/>
      <w:pgSz w:w="11906" w:h="16838"/>
      <w:pgMar w:top="1440" w:right="1080" w:bottom="1440" w:left="108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151F5">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614E63">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614E63">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p w14:paraId="1D11FEF9">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8E0872"/>
    <w:multiLevelType w:val="singleLevel"/>
    <w:tmpl w:val="F48E0872"/>
    <w:lvl w:ilvl="0" w:tentative="0">
      <w:start w:val="1"/>
      <w:numFmt w:val="decimal"/>
      <w:suff w:val="nothing"/>
      <w:lvlText w:val="（%1）"/>
      <w:lvlJc w:val="left"/>
    </w:lvl>
  </w:abstractNum>
  <w:abstractNum w:abstractNumId="1">
    <w:nsid w:val="293515DD"/>
    <w:multiLevelType w:val="multilevel"/>
    <w:tmpl w:val="293515DD"/>
    <w:lvl w:ilvl="0" w:tentative="0">
      <w:start w:val="1"/>
      <w:numFmt w:val="bullet"/>
      <w:pStyle w:val="4"/>
      <w:lvlText w:val=""/>
      <w:lvlJc w:val="left"/>
      <w:pPr>
        <w:ind w:left="420" w:hanging="420"/>
      </w:pPr>
      <w:rPr>
        <w:rFonts w:hint="default" w:ascii="Wingdings" w:hAnsi="Wingdings" w:eastAsia="宋体"/>
        <w:b/>
        <w:i w:val="0"/>
        <w:sz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0D6699A"/>
    <w:multiLevelType w:val="singleLevel"/>
    <w:tmpl w:val="50D6699A"/>
    <w:lvl w:ilvl="0" w:tentative="0">
      <w:start w:val="2"/>
      <w:numFmt w:val="decimal"/>
      <w:lvlText w:val="（%1)"/>
      <w:lvlJc w:val="left"/>
      <w:pPr>
        <w:tabs>
          <w:tab w:val="left" w:pos="621"/>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DD7"/>
    <w:rsid w:val="00013B19"/>
    <w:rsid w:val="000719A3"/>
    <w:rsid w:val="000E1931"/>
    <w:rsid w:val="00122BC4"/>
    <w:rsid w:val="00146B6D"/>
    <w:rsid w:val="00157B78"/>
    <w:rsid w:val="00222014"/>
    <w:rsid w:val="002C4593"/>
    <w:rsid w:val="003206A4"/>
    <w:rsid w:val="003813F4"/>
    <w:rsid w:val="003A3E74"/>
    <w:rsid w:val="003C270E"/>
    <w:rsid w:val="003F4FF7"/>
    <w:rsid w:val="004341C7"/>
    <w:rsid w:val="004A0472"/>
    <w:rsid w:val="005A6B5B"/>
    <w:rsid w:val="005C1A49"/>
    <w:rsid w:val="00611F76"/>
    <w:rsid w:val="0069656E"/>
    <w:rsid w:val="00740F84"/>
    <w:rsid w:val="007F2291"/>
    <w:rsid w:val="00801C2E"/>
    <w:rsid w:val="009512D6"/>
    <w:rsid w:val="009B4DD7"/>
    <w:rsid w:val="009F6585"/>
    <w:rsid w:val="00BF5195"/>
    <w:rsid w:val="00C2495E"/>
    <w:rsid w:val="00C60D9A"/>
    <w:rsid w:val="00CD2F68"/>
    <w:rsid w:val="00D9047D"/>
    <w:rsid w:val="00DF5890"/>
    <w:rsid w:val="00EF5B26"/>
    <w:rsid w:val="00F03EAF"/>
    <w:rsid w:val="00F0695A"/>
    <w:rsid w:val="00F14D10"/>
    <w:rsid w:val="01DE6849"/>
    <w:rsid w:val="0A8401E3"/>
    <w:rsid w:val="0BAC3E1D"/>
    <w:rsid w:val="0CB27867"/>
    <w:rsid w:val="10F009BD"/>
    <w:rsid w:val="15E52C78"/>
    <w:rsid w:val="1DD737EE"/>
    <w:rsid w:val="20C34832"/>
    <w:rsid w:val="2A522B7B"/>
    <w:rsid w:val="2EB910C0"/>
    <w:rsid w:val="33CE2865"/>
    <w:rsid w:val="3E341C7D"/>
    <w:rsid w:val="401728E0"/>
    <w:rsid w:val="40AC4204"/>
    <w:rsid w:val="4550160D"/>
    <w:rsid w:val="47ED2965"/>
    <w:rsid w:val="47F04922"/>
    <w:rsid w:val="4E7E0245"/>
    <w:rsid w:val="4EFC5A73"/>
    <w:rsid w:val="55116550"/>
    <w:rsid w:val="5B372A19"/>
    <w:rsid w:val="5D0336DD"/>
    <w:rsid w:val="6358798B"/>
    <w:rsid w:val="6ACB16CB"/>
    <w:rsid w:val="6AED4904"/>
    <w:rsid w:val="6D68150D"/>
    <w:rsid w:val="7AE563F6"/>
    <w:rsid w:val="7DBF50BB"/>
    <w:rsid w:val="7E3953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9"/>
    <w:qFormat/>
    <w:uiPriority w:val="9"/>
    <w:pPr>
      <w:keepNext/>
      <w:spacing w:line="360" w:lineRule="auto"/>
      <w:jc w:val="center"/>
      <w:outlineLvl w:val="0"/>
    </w:pPr>
    <w:rPr>
      <w:rFonts w:ascii="宋体" w:hAnsi="宋体" w:cs="宋体"/>
      <w:b/>
      <w:sz w:val="28"/>
      <w:szCs w:val="20"/>
    </w:rPr>
  </w:style>
  <w:style w:type="paragraph" w:styleId="4">
    <w:name w:val="heading 2"/>
    <w:basedOn w:val="1"/>
    <w:next w:val="1"/>
    <w:unhideWhenUsed/>
    <w:qFormat/>
    <w:uiPriority w:val="9"/>
    <w:pPr>
      <w:keepNext/>
      <w:keepLines/>
      <w:numPr>
        <w:ilvl w:val="0"/>
        <w:numId w:val="1"/>
      </w:numPr>
      <w:spacing w:line="360" w:lineRule="auto"/>
      <w:jc w:val="center"/>
      <w:outlineLvl w:val="1"/>
    </w:pPr>
    <w:rPr>
      <w:rFonts w:asciiTheme="majorHAnsi" w:hAnsiTheme="majorHAnsi" w:eastAsiaTheme="majorEastAsia" w:cstheme="majorBidi"/>
      <w:b/>
      <w:bCs/>
      <w:sz w:val="24"/>
      <w:szCs w:val="32"/>
    </w:rPr>
  </w:style>
  <w:style w:type="paragraph" w:styleId="5">
    <w:name w:val="heading 3"/>
    <w:basedOn w:val="1"/>
    <w:next w:val="1"/>
    <w:link w:val="30"/>
    <w:semiHidden/>
    <w:unhideWhenUsed/>
    <w:qFormat/>
    <w:uiPriority w:val="9"/>
    <w:pPr>
      <w:keepNext/>
      <w:keepLines/>
      <w:spacing w:before="260" w:after="260" w:line="412" w:lineRule="auto"/>
      <w:outlineLvl w:val="2"/>
    </w:pPr>
    <w:rPr>
      <w:rFonts w:cs="宋体"/>
      <w:b/>
      <w:sz w:val="32"/>
      <w:szCs w:val="2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等线" w:hAnsi="等线" w:eastAsia="等线" w:cs="Times New Roman"/>
      <w:color w:val="000000"/>
      <w:sz w:val="24"/>
      <w:szCs w:val="24"/>
      <w:lang w:val="en-US" w:eastAsia="zh-CN" w:bidi="ar-SA"/>
    </w:rPr>
  </w:style>
  <w:style w:type="paragraph" w:styleId="6">
    <w:name w:val="Normal Indent"/>
    <w:basedOn w:val="1"/>
    <w:qFormat/>
    <w:uiPriority w:val="0"/>
    <w:pPr>
      <w:ind w:firstLine="420"/>
    </w:pPr>
  </w:style>
  <w:style w:type="paragraph" w:styleId="7">
    <w:name w:val="annotation text"/>
    <w:basedOn w:val="1"/>
    <w:link w:val="31"/>
    <w:qFormat/>
    <w:uiPriority w:val="99"/>
    <w:pPr>
      <w:jc w:val="left"/>
    </w:pPr>
  </w:style>
  <w:style w:type="paragraph" w:styleId="8">
    <w:name w:val="Body Text"/>
    <w:basedOn w:val="1"/>
    <w:link w:val="35"/>
    <w:qFormat/>
    <w:uiPriority w:val="99"/>
    <w:pPr>
      <w:jc w:val="left"/>
    </w:pPr>
    <w:rPr>
      <w:rFonts w:ascii="楷体_GB2312" w:hAnsi="华文楷体" w:eastAsia="楷体_GB2312"/>
      <w:sz w:val="28"/>
      <w:szCs w:val="28"/>
    </w:rPr>
  </w:style>
  <w:style w:type="paragraph" w:styleId="9">
    <w:name w:val="Body Text Indent"/>
    <w:basedOn w:val="1"/>
    <w:link w:val="36"/>
    <w:qFormat/>
    <w:uiPriority w:val="99"/>
    <w:pPr>
      <w:spacing w:after="120"/>
      <w:ind w:left="420" w:leftChars="200"/>
    </w:pPr>
  </w:style>
  <w:style w:type="paragraph" w:styleId="10">
    <w:name w:val="index 4"/>
    <w:basedOn w:val="1"/>
    <w:next w:val="1"/>
    <w:qFormat/>
    <w:uiPriority w:val="0"/>
    <w:pPr>
      <w:spacing w:line="460" w:lineRule="exact"/>
      <w:ind w:left="1260"/>
    </w:pPr>
    <w:rPr>
      <w:szCs w:val="21"/>
    </w:rPr>
  </w:style>
  <w:style w:type="paragraph" w:styleId="11">
    <w:name w:val="Plain Text"/>
    <w:basedOn w:val="1"/>
    <w:link w:val="39"/>
    <w:qFormat/>
    <w:uiPriority w:val="0"/>
    <w:rPr>
      <w:rFonts w:ascii="宋体" w:hAnsi="Courier New" w:cs="Courier New"/>
      <w:szCs w:val="21"/>
    </w:rPr>
  </w:style>
  <w:style w:type="paragraph" w:styleId="12">
    <w:name w:val="Date"/>
    <w:basedOn w:val="1"/>
    <w:next w:val="1"/>
    <w:link w:val="37"/>
    <w:qFormat/>
    <w:uiPriority w:val="99"/>
    <w:pPr>
      <w:ind w:left="100" w:leftChars="2500"/>
    </w:pPr>
    <w:rPr>
      <w:rFonts w:eastAsia="楷体_GB2312"/>
      <w:b/>
      <w:bCs/>
      <w:sz w:val="32"/>
    </w:rPr>
  </w:style>
  <w:style w:type="paragraph" w:styleId="13">
    <w:name w:val="Body Text Indent 2"/>
    <w:basedOn w:val="1"/>
    <w:link w:val="38"/>
    <w:qFormat/>
    <w:uiPriority w:val="99"/>
    <w:pPr>
      <w:spacing w:after="120" w:line="480" w:lineRule="auto"/>
      <w:ind w:left="420" w:leftChars="200"/>
    </w:pPr>
  </w:style>
  <w:style w:type="paragraph" w:styleId="14">
    <w:name w:val="Balloon Text"/>
    <w:basedOn w:val="1"/>
    <w:link w:val="41"/>
    <w:qFormat/>
    <w:uiPriority w:val="99"/>
    <w:rPr>
      <w:sz w:val="18"/>
      <w:szCs w:val="18"/>
    </w:rPr>
  </w:style>
  <w:style w:type="paragraph" w:styleId="15">
    <w:name w:val="footer"/>
    <w:basedOn w:val="1"/>
    <w:link w:val="33"/>
    <w:qFormat/>
    <w:uiPriority w:val="99"/>
    <w:pPr>
      <w:tabs>
        <w:tab w:val="center" w:pos="4153"/>
        <w:tab w:val="right" w:pos="8306"/>
      </w:tabs>
      <w:snapToGrid w:val="0"/>
      <w:jc w:val="left"/>
    </w:pPr>
    <w:rPr>
      <w:sz w:val="18"/>
      <w:szCs w:val="18"/>
    </w:rPr>
  </w:style>
  <w:style w:type="paragraph" w:styleId="16">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right" w:leader="dot" w:pos="8296"/>
      </w:tabs>
      <w:spacing w:line="360" w:lineRule="auto"/>
    </w:pPr>
  </w:style>
  <w:style w:type="paragraph" w:styleId="18">
    <w:name w:val="Body Text 2"/>
    <w:basedOn w:val="1"/>
    <w:link w:val="57"/>
    <w:qFormat/>
    <w:uiPriority w:val="99"/>
    <w:pPr>
      <w:spacing w:after="120" w:line="480" w:lineRule="auto"/>
    </w:pPr>
  </w:style>
  <w:style w:type="paragraph" w:styleId="19">
    <w:name w:val="Normal (Web)"/>
    <w:basedOn w:val="1"/>
    <w:qFormat/>
    <w:uiPriority w:val="0"/>
    <w:pPr>
      <w:spacing w:before="100" w:beforeAutospacing="1" w:after="100" w:afterAutospacing="1"/>
      <w:jc w:val="left"/>
    </w:pPr>
    <w:rPr>
      <w:kern w:val="0"/>
      <w:sz w:val="24"/>
      <w:szCs w:val="20"/>
    </w:rPr>
  </w:style>
  <w:style w:type="paragraph" w:styleId="20">
    <w:name w:val="Title"/>
    <w:basedOn w:val="1"/>
    <w:link w:val="34"/>
    <w:qFormat/>
    <w:uiPriority w:val="10"/>
    <w:pPr>
      <w:adjustRightInd w:val="0"/>
      <w:spacing w:before="240" w:after="60" w:line="420" w:lineRule="atLeast"/>
      <w:jc w:val="center"/>
      <w:outlineLvl w:val="0"/>
    </w:pPr>
    <w:rPr>
      <w:rFonts w:ascii="Arial" w:hAnsi="Arial"/>
      <w:b/>
      <w:kern w:val="0"/>
      <w:sz w:val="32"/>
      <w:szCs w:val="20"/>
    </w:rPr>
  </w:style>
  <w:style w:type="paragraph" w:styleId="21">
    <w:name w:val="annotation subject"/>
    <w:basedOn w:val="7"/>
    <w:next w:val="7"/>
    <w:link w:val="40"/>
    <w:qFormat/>
    <w:uiPriority w:val="99"/>
    <w:rPr>
      <w:b/>
      <w:bCs/>
    </w:rPr>
  </w:style>
  <w:style w:type="paragraph" w:styleId="22">
    <w:name w:val="Body Text First Indent 2"/>
    <w:basedOn w:val="9"/>
    <w:qFormat/>
    <w:uiPriority w:val="0"/>
    <w:pPr>
      <w:tabs>
        <w:tab w:val="left" w:pos="0"/>
        <w:tab w:val="left" w:pos="993"/>
        <w:tab w:val="left" w:pos="1134"/>
      </w:tabs>
      <w:ind w:firstLine="420"/>
    </w:pPr>
    <w:rPr>
      <w:rFonts w:ascii="Times New Roman" w:hAnsi="Times New Roman"/>
    </w:rPr>
  </w:style>
  <w:style w:type="table" w:styleId="24">
    <w:name w:val="Table Grid"/>
    <w:basedOn w:val="2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basedOn w:val="25"/>
    <w:qFormat/>
    <w:uiPriority w:val="99"/>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标题 1 字符"/>
    <w:basedOn w:val="25"/>
    <w:link w:val="3"/>
    <w:qFormat/>
    <w:uiPriority w:val="0"/>
    <w:rPr>
      <w:rFonts w:ascii="宋体" w:hAnsi="宋体" w:eastAsia="宋体" w:cs="宋体"/>
      <w:b/>
      <w:sz w:val="28"/>
      <w:szCs w:val="20"/>
    </w:rPr>
  </w:style>
  <w:style w:type="character" w:customStyle="1" w:styleId="30">
    <w:name w:val="标题 3 字符"/>
    <w:basedOn w:val="25"/>
    <w:link w:val="5"/>
    <w:qFormat/>
    <w:uiPriority w:val="0"/>
    <w:rPr>
      <w:rFonts w:ascii="Calibri" w:hAnsi="Calibri" w:eastAsia="宋体" w:cs="宋体"/>
      <w:b/>
      <w:sz w:val="32"/>
      <w:szCs w:val="20"/>
    </w:rPr>
  </w:style>
  <w:style w:type="character" w:customStyle="1" w:styleId="31">
    <w:name w:val="批注文字 字符"/>
    <w:basedOn w:val="25"/>
    <w:link w:val="7"/>
    <w:qFormat/>
    <w:uiPriority w:val="99"/>
    <w:rPr>
      <w:rFonts w:ascii="Calibri" w:hAnsi="Calibri" w:eastAsia="宋体" w:cs="Times New Roman"/>
      <w:szCs w:val="24"/>
    </w:rPr>
  </w:style>
  <w:style w:type="character" w:customStyle="1" w:styleId="32">
    <w:name w:val="页眉 字符"/>
    <w:basedOn w:val="25"/>
    <w:link w:val="16"/>
    <w:qFormat/>
    <w:uiPriority w:val="99"/>
    <w:rPr>
      <w:rFonts w:ascii="Calibri" w:hAnsi="Calibri" w:eastAsia="宋体" w:cs="Times New Roman"/>
      <w:sz w:val="18"/>
      <w:szCs w:val="18"/>
    </w:rPr>
  </w:style>
  <w:style w:type="character" w:customStyle="1" w:styleId="33">
    <w:name w:val="页脚 字符"/>
    <w:basedOn w:val="25"/>
    <w:link w:val="15"/>
    <w:qFormat/>
    <w:uiPriority w:val="99"/>
    <w:rPr>
      <w:rFonts w:ascii="Calibri" w:hAnsi="Calibri" w:eastAsia="宋体" w:cs="Times New Roman"/>
      <w:sz w:val="18"/>
      <w:szCs w:val="18"/>
    </w:rPr>
  </w:style>
  <w:style w:type="character" w:customStyle="1" w:styleId="34">
    <w:name w:val="标题 字符"/>
    <w:basedOn w:val="25"/>
    <w:link w:val="20"/>
    <w:qFormat/>
    <w:uiPriority w:val="99"/>
    <w:rPr>
      <w:rFonts w:ascii="Arial" w:hAnsi="Arial" w:eastAsia="宋体" w:cs="Times New Roman"/>
      <w:b/>
      <w:kern w:val="0"/>
      <w:sz w:val="32"/>
      <w:szCs w:val="20"/>
    </w:rPr>
  </w:style>
  <w:style w:type="character" w:customStyle="1" w:styleId="35">
    <w:name w:val="正文文本 字符"/>
    <w:basedOn w:val="25"/>
    <w:link w:val="8"/>
    <w:qFormat/>
    <w:uiPriority w:val="99"/>
    <w:rPr>
      <w:rFonts w:ascii="楷体_GB2312" w:hAnsi="华文楷体" w:eastAsia="楷体_GB2312" w:cs="Times New Roman"/>
      <w:sz w:val="28"/>
      <w:szCs w:val="28"/>
    </w:rPr>
  </w:style>
  <w:style w:type="character" w:customStyle="1" w:styleId="36">
    <w:name w:val="正文文本缩进 字符"/>
    <w:basedOn w:val="25"/>
    <w:link w:val="9"/>
    <w:qFormat/>
    <w:uiPriority w:val="99"/>
    <w:rPr>
      <w:rFonts w:ascii="Calibri" w:hAnsi="Calibri" w:eastAsia="宋体" w:cs="Times New Roman"/>
      <w:szCs w:val="24"/>
    </w:rPr>
  </w:style>
  <w:style w:type="character" w:customStyle="1" w:styleId="37">
    <w:name w:val="日期 字符"/>
    <w:basedOn w:val="25"/>
    <w:link w:val="12"/>
    <w:qFormat/>
    <w:uiPriority w:val="99"/>
    <w:rPr>
      <w:rFonts w:ascii="Calibri" w:hAnsi="Calibri" w:eastAsia="楷体_GB2312" w:cs="Times New Roman"/>
      <w:b/>
      <w:bCs/>
      <w:sz w:val="32"/>
      <w:szCs w:val="24"/>
    </w:rPr>
  </w:style>
  <w:style w:type="character" w:customStyle="1" w:styleId="38">
    <w:name w:val="正文文本缩进 2 字符"/>
    <w:basedOn w:val="25"/>
    <w:link w:val="13"/>
    <w:qFormat/>
    <w:uiPriority w:val="99"/>
    <w:rPr>
      <w:rFonts w:ascii="Calibri" w:hAnsi="Calibri" w:eastAsia="宋体" w:cs="Times New Roman"/>
      <w:szCs w:val="24"/>
    </w:rPr>
  </w:style>
  <w:style w:type="character" w:customStyle="1" w:styleId="39">
    <w:name w:val="纯文本 字符"/>
    <w:basedOn w:val="25"/>
    <w:link w:val="11"/>
    <w:qFormat/>
    <w:uiPriority w:val="0"/>
    <w:rPr>
      <w:rFonts w:ascii="宋体" w:hAnsi="Courier New" w:eastAsia="宋体" w:cs="Courier New"/>
      <w:szCs w:val="21"/>
    </w:rPr>
  </w:style>
  <w:style w:type="character" w:customStyle="1" w:styleId="40">
    <w:name w:val="批注主题 字符"/>
    <w:basedOn w:val="31"/>
    <w:link w:val="21"/>
    <w:qFormat/>
    <w:uiPriority w:val="99"/>
    <w:rPr>
      <w:rFonts w:ascii="Calibri" w:hAnsi="Calibri" w:eastAsia="宋体" w:cs="Times New Roman"/>
      <w:b/>
      <w:bCs/>
      <w:szCs w:val="24"/>
    </w:rPr>
  </w:style>
  <w:style w:type="character" w:customStyle="1" w:styleId="41">
    <w:name w:val="批注框文本 字符"/>
    <w:basedOn w:val="25"/>
    <w:link w:val="14"/>
    <w:qFormat/>
    <w:uiPriority w:val="99"/>
    <w:rPr>
      <w:rFonts w:ascii="Calibri" w:hAnsi="Calibri" w:eastAsia="宋体" w:cs="Times New Roman"/>
      <w:sz w:val="18"/>
      <w:szCs w:val="18"/>
    </w:rPr>
  </w:style>
  <w:style w:type="paragraph" w:styleId="42">
    <w:name w:val="List Paragraph"/>
    <w:basedOn w:val="1"/>
    <w:qFormat/>
    <w:uiPriority w:val="34"/>
    <w:pPr>
      <w:ind w:firstLine="420" w:firstLineChars="200"/>
    </w:pPr>
    <w:rPr>
      <w:szCs w:val="20"/>
    </w:rPr>
  </w:style>
  <w:style w:type="paragraph" w:customStyle="1" w:styleId="43">
    <w:name w:val="Char Char1 Char Char Char Char Char Char"/>
    <w:basedOn w:val="1"/>
    <w:qFormat/>
    <w:uiPriority w:val="99"/>
    <w:pPr>
      <w:widowControl/>
      <w:spacing w:after="160" w:line="240" w:lineRule="exact"/>
      <w:jc w:val="left"/>
    </w:pPr>
    <w:rPr>
      <w:szCs w:val="20"/>
    </w:rPr>
  </w:style>
  <w:style w:type="paragraph" w:customStyle="1" w:styleId="44">
    <w:name w:val="2"/>
    <w:basedOn w:val="1"/>
    <w:qFormat/>
    <w:uiPriority w:val="99"/>
    <w:pPr>
      <w:widowControl/>
      <w:spacing w:before="100" w:beforeAutospacing="1" w:after="100" w:afterAutospacing="1"/>
      <w:jc w:val="left"/>
    </w:pPr>
    <w:rPr>
      <w:rFonts w:ascii="宋体" w:hAnsi="宋体" w:cs="宋体"/>
      <w:kern w:val="0"/>
      <w:sz w:val="24"/>
    </w:rPr>
  </w:style>
  <w:style w:type="paragraph" w:customStyle="1" w:styleId="45">
    <w:name w:val="列出段落1"/>
    <w:basedOn w:val="1"/>
    <w:qFormat/>
    <w:uiPriority w:val="34"/>
    <w:pPr>
      <w:ind w:firstLine="420" w:firstLineChars="200"/>
    </w:pPr>
  </w:style>
  <w:style w:type="paragraph" w:customStyle="1" w:styleId="46">
    <w:name w:val="Char"/>
    <w:basedOn w:val="1"/>
    <w:qFormat/>
    <w:uiPriority w:val="99"/>
    <w:pPr>
      <w:widowControl/>
      <w:spacing w:after="160" w:line="240" w:lineRule="exact"/>
      <w:jc w:val="left"/>
    </w:pPr>
  </w:style>
  <w:style w:type="paragraph" w:customStyle="1" w:styleId="47">
    <w:name w:val="正文_2"/>
    <w:qFormat/>
    <w:uiPriority w:val="99"/>
    <w:rPr>
      <w:rFonts w:ascii="Calibri" w:hAnsi="Calibri" w:eastAsia="宋体" w:cs="Times New Roman"/>
      <w:sz w:val="21"/>
      <w:szCs w:val="22"/>
      <w:lang w:val="en-US" w:eastAsia="zh-CN" w:bidi="ar-SA"/>
    </w:rPr>
  </w:style>
  <w:style w:type="paragraph" w:customStyle="1" w:styleId="48">
    <w:name w:val="正文_0_0"/>
    <w:qFormat/>
    <w:uiPriority w:val="99"/>
    <w:pPr>
      <w:widowControl w:val="0"/>
      <w:jc w:val="both"/>
    </w:pPr>
    <w:rPr>
      <w:rFonts w:ascii="Calibri" w:hAnsi="Calibri" w:eastAsia="宋体" w:cs="Times New Roman"/>
      <w:kern w:val="2"/>
      <w:sz w:val="21"/>
      <w:szCs w:val="22"/>
      <w:lang w:val="en-US" w:eastAsia="zh-CN" w:bidi="ar-SA"/>
    </w:rPr>
  </w:style>
  <w:style w:type="character" w:customStyle="1" w:styleId="49">
    <w:name w:val="标题 Char1"/>
    <w:basedOn w:val="25"/>
    <w:qFormat/>
    <w:uiPriority w:val="10"/>
    <w:rPr>
      <w:rFonts w:hint="default" w:ascii="Cambria" w:hAnsi="Cambria" w:cs="宋体"/>
      <w:b/>
      <w:bCs/>
      <w:kern w:val="2"/>
      <w:sz w:val="32"/>
      <w:szCs w:val="32"/>
    </w:rPr>
  </w:style>
  <w:style w:type="character" w:customStyle="1" w:styleId="50">
    <w:name w:val="批注文字 Char1"/>
    <w:basedOn w:val="25"/>
    <w:qFormat/>
    <w:uiPriority w:val="99"/>
    <w:rPr>
      <w:kern w:val="2"/>
      <w:sz w:val="21"/>
      <w:szCs w:val="24"/>
    </w:rPr>
  </w:style>
  <w:style w:type="character" w:customStyle="1" w:styleId="51">
    <w:name w:val="批注主题 Char1"/>
    <w:basedOn w:val="50"/>
    <w:qFormat/>
    <w:uiPriority w:val="99"/>
    <w:rPr>
      <w:b/>
      <w:bCs/>
      <w:kern w:val="2"/>
      <w:sz w:val="21"/>
      <w:szCs w:val="24"/>
    </w:rPr>
  </w:style>
  <w:style w:type="paragraph" w:customStyle="1" w:styleId="52">
    <w:name w:val="TOC 标题1"/>
    <w:basedOn w:val="3"/>
    <w:next w:val="1"/>
    <w:qFormat/>
    <w:uiPriority w:val="39"/>
    <w:pPr>
      <w:keepLines/>
      <w:widowControl/>
      <w:spacing w:before="240" w:line="259" w:lineRule="auto"/>
      <w:jc w:val="left"/>
      <w:outlineLvl w:val="9"/>
    </w:pPr>
    <w:rPr>
      <w:rFonts w:ascii="Cambria" w:hAnsi="Cambria"/>
      <w:b w:val="0"/>
      <w:color w:val="376092"/>
      <w:kern w:val="0"/>
      <w:sz w:val="32"/>
      <w:szCs w:val="32"/>
    </w:rPr>
  </w:style>
  <w:style w:type="character" w:customStyle="1" w:styleId="53">
    <w:name w:val="Blockquote Char Char"/>
    <w:link w:val="54"/>
    <w:qFormat/>
    <w:uiPriority w:val="0"/>
    <w:rPr>
      <w:sz w:val="24"/>
    </w:rPr>
  </w:style>
  <w:style w:type="paragraph" w:customStyle="1" w:styleId="54">
    <w:name w:val="Blockquote"/>
    <w:basedOn w:val="1"/>
    <w:link w:val="53"/>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55">
    <w:name w:val="正文_0_0_0_0"/>
    <w:qFormat/>
    <w:uiPriority w:val="0"/>
    <w:pPr>
      <w:widowControl w:val="0"/>
      <w:jc w:val="both"/>
    </w:pPr>
    <w:rPr>
      <w:rFonts w:ascii="Times New Roman" w:hAnsi="Times New Roman" w:eastAsia="宋体" w:cs="Times New Roman"/>
      <w:lang w:val="en-US" w:eastAsia="zh-CN" w:bidi="ar-SA"/>
    </w:rPr>
  </w:style>
  <w:style w:type="paragraph" w:customStyle="1" w:styleId="56">
    <w:name w:val="正文_0"/>
    <w:qFormat/>
    <w:uiPriority w:val="0"/>
    <w:pPr>
      <w:widowControl w:val="0"/>
      <w:ind w:firstLine="360"/>
      <w:jc w:val="both"/>
    </w:pPr>
    <w:rPr>
      <w:rFonts w:ascii="Times New Roman" w:hAnsi="Times New Roman" w:eastAsia="宋体" w:cs="Times New Roman"/>
      <w:kern w:val="2"/>
      <w:sz w:val="21"/>
      <w:szCs w:val="22"/>
      <w:lang w:val="en-US" w:eastAsia="zh-CN" w:bidi="ar-SA"/>
    </w:rPr>
  </w:style>
  <w:style w:type="character" w:customStyle="1" w:styleId="57">
    <w:name w:val="正文文本 2 字符"/>
    <w:basedOn w:val="25"/>
    <w:link w:val="18"/>
    <w:qFormat/>
    <w:uiPriority w:val="99"/>
    <w:rPr>
      <w:rFonts w:ascii="Calibri" w:hAnsi="Calibri" w:eastAsia="宋体" w:cs="Times New Roman"/>
      <w:kern w:val="2"/>
      <w:sz w:val="21"/>
      <w:szCs w:val="24"/>
    </w:rPr>
  </w:style>
  <w:style w:type="character" w:customStyle="1" w:styleId="58">
    <w:name w:val="NormalCharacter"/>
    <w:qFormat/>
    <w:uiPriority w:val="0"/>
  </w:style>
  <w:style w:type="paragraph" w:customStyle="1" w:styleId="5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60">
    <w:name w:val="宋体小四正文"/>
    <w:basedOn w:val="1"/>
    <w:link w:val="61"/>
    <w:qFormat/>
    <w:uiPriority w:val="0"/>
    <w:pPr>
      <w:spacing w:line="360" w:lineRule="auto"/>
      <w:ind w:firstLine="200" w:firstLineChars="200"/>
    </w:pPr>
    <w:rPr>
      <w:rFonts w:ascii="宋体" w:hAnsi="宋体" w:cs="宋体"/>
      <w:color w:val="000000"/>
      <w:sz w:val="24"/>
      <w:szCs w:val="28"/>
    </w:rPr>
  </w:style>
  <w:style w:type="character" w:customStyle="1" w:styleId="61">
    <w:name w:val="宋体小四正文 字符"/>
    <w:basedOn w:val="25"/>
    <w:link w:val="60"/>
    <w:qFormat/>
    <w:uiPriority w:val="0"/>
    <w:rPr>
      <w:rFonts w:ascii="宋体" w:hAnsi="宋体" w:eastAsia="宋体"/>
      <w:color w:val="000000"/>
      <w:kern w:val="2"/>
      <w:sz w:val="24"/>
      <w:szCs w:val="28"/>
    </w:rPr>
  </w:style>
  <w:style w:type="paragraph" w:customStyle="1" w:styleId="62">
    <w:name w:val="(符号)标书正文"/>
    <w:basedOn w:val="1"/>
    <w:qFormat/>
    <w:uiPriority w:val="0"/>
    <w:pPr>
      <w:spacing w:before="100" w:beforeAutospacing="1" w:after="100" w:afterAutospacing="1" w:line="460" w:lineRule="exact"/>
      <w:ind w:left="420"/>
    </w:pPr>
    <w:rPr>
      <w:rFonts w:ascii="宋体" w:hAnsi="宋体"/>
      <w:color w:val="000000"/>
      <w:sz w:val="24"/>
      <w:szCs w:val="22"/>
    </w:rPr>
  </w:style>
  <w:style w:type="paragraph" w:customStyle="1" w:styleId="63">
    <w:name w:val="正文表标题"/>
    <w:next w:val="1"/>
    <w:qFormat/>
    <w:uiPriority w:val="0"/>
    <w:pPr>
      <w:spacing w:before="156" w:beforeLines="50" w:after="156" w:afterLines="50"/>
      <w:jc w:val="center"/>
    </w:pPr>
    <w:rPr>
      <w:rFonts w:ascii="黑体" w:hAnsi="Times New Roman" w:eastAsia="黑体" w:cs="Times New Roman"/>
      <w:sz w:val="21"/>
      <w:lang w:val="en-US" w:eastAsia="zh-CN" w:bidi="ar-SA"/>
    </w:rPr>
  </w:style>
  <w:style w:type="paragraph" w:customStyle="1" w:styleId="64">
    <w:name w:val="UserStyle_6"/>
    <w:basedOn w:val="1"/>
    <w:autoRedefine/>
    <w:qFormat/>
    <w:uiPriority w:val="0"/>
    <w:pPr>
      <w:widowControl/>
      <w:textAlignment w:val="baseline"/>
    </w:pPr>
    <w:rPr>
      <w:rFonts w:ascii="宋体" w:hAnsi="宋体"/>
      <w:sz w:val="24"/>
      <w:lang w:val="zh-CN" w:bidi="zh-CN"/>
    </w:rPr>
  </w:style>
  <w:style w:type="paragraph" w:customStyle="1" w:styleId="65">
    <w:name w:val="正文（缩进）"/>
    <w:basedOn w:val="1"/>
    <w:qFormat/>
    <w:uiPriority w:val="0"/>
    <w:pPr>
      <w:ind w:firstLine="48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E192B5-A6FF-4DDC-BAD7-B6B560D38FD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17</Pages>
  <Words>7305</Words>
  <Characters>7523</Characters>
  <Lines>76</Lines>
  <Paragraphs>21</Paragraphs>
  <TotalTime>0</TotalTime>
  <ScaleCrop>false</ScaleCrop>
  <LinksUpToDate>false</LinksUpToDate>
  <CharactersWithSpaces>7762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2026-03-03T03:41:00Z</dcterms:created>
  <dc:creator>未定义</dc:creator>
  <cp:lastModifiedBy>艾伦小天使</cp:lastModifiedBy>
  <cp:lastPrinted>2020-05-07T09:24:00Z</cp:lastPrinted>
  <dcterms:modified xsi:type="dcterms:W3CDTF">2026-06-01T07:56:00Z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543A9323B5EF4E0F8B030C51FF2D81CF_13</vt:lpwstr>
  </property>
  <property fmtid="{D5CDD505-2E9C-101B-9397-08002B2CF9AE}" pid="4" name="KSOTemplateDocerSaveRecord">
    <vt:lpwstr>eyJoZGlkIjoiYTBhZWI3NWRmZjY0ZGIxMWVjM2QyOTRhYjhiZjJiYWMiLCJ1c2VySWQiOiIzNTEzODI1MDgifQ==</vt:lpwstr>
  </property>
</Properties>
</file>